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DE64E12" w14:textId="77777777" w:rsidTr="00D74AE1">
        <w:trPr>
          <w:trHeight w:hRule="exact" w:val="2948"/>
        </w:trPr>
        <w:tc>
          <w:tcPr>
            <w:tcW w:w="11185" w:type="dxa"/>
            <w:vAlign w:val="center"/>
          </w:tcPr>
          <w:p w14:paraId="580E7689" w14:textId="77777777" w:rsidR="00974E99" w:rsidRPr="00974E99" w:rsidRDefault="00974E99" w:rsidP="00010920">
            <w:pPr>
              <w:pStyle w:val="Bullet1"/>
            </w:pPr>
            <w:bookmarkStart w:id="0" w:name="_GoBack"/>
            <w:bookmarkEnd w:id="0"/>
            <w:r w:rsidRPr="00974E99">
              <w:t>I</w:t>
            </w:r>
            <w:bookmarkStart w:id="1" w:name="_Ref446317644"/>
            <w:bookmarkStart w:id="2" w:name="_Ref453915684"/>
            <w:bookmarkStart w:id="3" w:name="_Ref453936834"/>
            <w:bookmarkEnd w:id="1"/>
            <w:bookmarkEnd w:id="2"/>
            <w:bookmarkEnd w:id="3"/>
            <w:r w:rsidRPr="00974E99">
              <w:t xml:space="preserve">ALA </w:t>
            </w:r>
            <w:r w:rsidR="0093492E">
              <w:t>G</w:t>
            </w:r>
            <w:r w:rsidR="00722236">
              <w:t>uideline</w:t>
            </w:r>
          </w:p>
        </w:tc>
      </w:tr>
    </w:tbl>
    <w:p w14:paraId="474DDC62" w14:textId="77777777" w:rsidR="008972C3" w:rsidRDefault="008972C3" w:rsidP="003274DB"/>
    <w:p w14:paraId="110C7F42" w14:textId="77777777" w:rsidR="00D74AE1" w:rsidRDefault="00D74AE1" w:rsidP="003274DB"/>
    <w:p w14:paraId="277AD0C8" w14:textId="77777777" w:rsidR="0093492E" w:rsidRDefault="0026038D" w:rsidP="0026038D">
      <w:pPr>
        <w:pStyle w:val="Documentnumber"/>
      </w:pPr>
      <w:r>
        <w:t>1</w:t>
      </w:r>
      <w:r w:rsidR="00EA347B" w:rsidRPr="00D34CF8">
        <w:rPr>
          <w:highlight w:val="yellow"/>
        </w:rPr>
        <w:t>???</w:t>
      </w:r>
    </w:p>
    <w:p w14:paraId="2DA85F46" w14:textId="77777777" w:rsidR="0026038D" w:rsidRDefault="0026038D" w:rsidP="003274DB"/>
    <w:p w14:paraId="2F5BD95F" w14:textId="77777777" w:rsidR="00776004" w:rsidRPr="00ED4450" w:rsidRDefault="00ED4450" w:rsidP="00E21A27">
      <w:pPr>
        <w:pStyle w:val="Documentname"/>
      </w:pPr>
      <w:r w:rsidRPr="00ED4450">
        <w:rPr>
          <w:bCs/>
          <w:caps w:val="0"/>
        </w:rPr>
        <w:t>T</w:t>
      </w:r>
      <w:r w:rsidR="00EA347B" w:rsidRPr="00EA347B">
        <w:t xml:space="preserve">he Technical Approach to Establishing a Maritime </w:t>
      </w:r>
      <w:r w:rsidR="00EA347B" w:rsidRPr="00EA347B">
        <w:rPr>
          <w:caps w:val="0"/>
        </w:rPr>
        <w:t>e</w:t>
      </w:r>
      <w:r w:rsidR="00EA347B" w:rsidRPr="00EA347B">
        <w:t>Loran Service</w:t>
      </w:r>
    </w:p>
    <w:p w14:paraId="71AEDC4A" w14:textId="77777777" w:rsidR="00CF49CC" w:rsidRDefault="00CF49CC" w:rsidP="00D74AE1"/>
    <w:p w14:paraId="5C45E75C" w14:textId="77777777" w:rsidR="004E0BBB" w:rsidRDefault="004E0BBB" w:rsidP="00D74AE1"/>
    <w:p w14:paraId="00C9A498" w14:textId="77777777" w:rsidR="004E0BBB" w:rsidRDefault="004E0BBB" w:rsidP="00D74AE1"/>
    <w:p w14:paraId="52BC0B79" w14:textId="77777777" w:rsidR="004E0BBB" w:rsidRDefault="004E0BBB" w:rsidP="00D74AE1"/>
    <w:p w14:paraId="1310F9E7" w14:textId="77777777" w:rsidR="004E0BBB" w:rsidRDefault="004E0BBB" w:rsidP="00D74AE1"/>
    <w:p w14:paraId="0D4FC2CD" w14:textId="77777777" w:rsidR="004E0BBB" w:rsidRDefault="004E0BBB" w:rsidP="00D74AE1"/>
    <w:p w14:paraId="47F0E892" w14:textId="77777777" w:rsidR="004E0BBB" w:rsidRDefault="004E0BBB" w:rsidP="00D74AE1"/>
    <w:p w14:paraId="0017086D" w14:textId="77777777" w:rsidR="004E0BBB" w:rsidRDefault="004E0BBB" w:rsidP="00D74AE1"/>
    <w:p w14:paraId="0EAAF9D8" w14:textId="77777777" w:rsidR="004E0BBB" w:rsidRDefault="004E0BBB" w:rsidP="00D74AE1"/>
    <w:p w14:paraId="503F8872" w14:textId="77777777" w:rsidR="004E0BBB" w:rsidRDefault="004E0BBB" w:rsidP="00D74AE1"/>
    <w:p w14:paraId="30624EA8" w14:textId="77777777" w:rsidR="004E0BBB" w:rsidRDefault="004E0BBB" w:rsidP="00D74AE1"/>
    <w:p w14:paraId="4670511B" w14:textId="77777777" w:rsidR="004E0BBB" w:rsidRDefault="004E0BBB" w:rsidP="00D74AE1"/>
    <w:p w14:paraId="5DE45CFC" w14:textId="77777777" w:rsidR="004E0BBB" w:rsidRDefault="004E0BBB" w:rsidP="00D74AE1"/>
    <w:p w14:paraId="1CD02A22" w14:textId="77777777" w:rsidR="004E0BBB" w:rsidRDefault="004E0BBB" w:rsidP="00D74AE1"/>
    <w:p w14:paraId="78ED141E" w14:textId="77777777" w:rsidR="004E0BBB" w:rsidRDefault="004E0BBB" w:rsidP="00D74AE1"/>
    <w:p w14:paraId="3A29C4D3" w14:textId="77777777" w:rsidR="004E0BBB" w:rsidRDefault="004E0BBB" w:rsidP="00D74AE1"/>
    <w:p w14:paraId="6F70AB4A" w14:textId="77777777" w:rsidR="004E0BBB" w:rsidRDefault="004E0BBB" w:rsidP="00D74AE1"/>
    <w:p w14:paraId="50683184" w14:textId="77777777" w:rsidR="00734BC6" w:rsidRDefault="00734BC6" w:rsidP="00D74AE1"/>
    <w:p w14:paraId="484063B4" w14:textId="77777777" w:rsidR="004E0BBB" w:rsidRDefault="004E0BBB" w:rsidP="00D74AE1"/>
    <w:p w14:paraId="693DC68E" w14:textId="77777777" w:rsidR="004E0BBB" w:rsidRDefault="004E0BBB" w:rsidP="00D74AE1"/>
    <w:p w14:paraId="01F73172" w14:textId="77777777" w:rsidR="00EA347B" w:rsidRDefault="00EA347B" w:rsidP="00D74AE1"/>
    <w:p w14:paraId="03309F8F" w14:textId="77777777" w:rsidR="004E0BBB" w:rsidRDefault="004E0BBB" w:rsidP="00D74AE1"/>
    <w:p w14:paraId="7B65ECD1" w14:textId="77777777" w:rsidR="004E0BBB" w:rsidRDefault="004E0BBB" w:rsidP="00D74AE1"/>
    <w:p w14:paraId="103B03C9" w14:textId="77777777" w:rsidR="004E0BBB" w:rsidRDefault="004E0BBB" w:rsidP="00D74AE1"/>
    <w:p w14:paraId="430CFD94" w14:textId="77777777" w:rsidR="004E0BBB" w:rsidRDefault="004E0BBB" w:rsidP="004E0BBB">
      <w:pPr>
        <w:pStyle w:val="Editionnumber"/>
      </w:pPr>
      <w:r>
        <w:lastRenderedPageBreak/>
        <w:t>Edition 1.0</w:t>
      </w:r>
      <w:r w:rsidR="00EA347B">
        <w:t xml:space="preserve"> </w:t>
      </w:r>
      <w:commentRangeStart w:id="4"/>
      <w:r w:rsidR="00EA347B">
        <w:t>(</w:t>
      </w:r>
      <w:r w:rsidR="00EA347B" w:rsidRPr="00EA347B">
        <w:rPr>
          <w:color w:val="FF0000"/>
        </w:rPr>
        <w:t>Draft</w:t>
      </w:r>
      <w:r w:rsidR="00EA347B">
        <w:t>)</w:t>
      </w:r>
      <w:commentRangeEnd w:id="4"/>
      <w:r w:rsidR="00B25EFE">
        <w:rPr>
          <w:rStyle w:val="CommentReference"/>
          <w:b w:val="0"/>
          <w:color w:val="auto"/>
        </w:rPr>
        <w:commentReference w:id="4"/>
      </w:r>
    </w:p>
    <w:p w14:paraId="6468DC26" w14:textId="77777777" w:rsidR="004E0BBB" w:rsidRDefault="00600C2B" w:rsidP="004E0BBB">
      <w:pPr>
        <w:pStyle w:val="Documentdate"/>
      </w:pPr>
      <w:r>
        <w:t xml:space="preserve">Document </w:t>
      </w:r>
      <w:commentRangeStart w:id="5"/>
      <w:r>
        <w:t>date</w:t>
      </w:r>
      <w:commentRangeEnd w:id="5"/>
      <w:r>
        <w:rPr>
          <w:rStyle w:val="CommentReference"/>
          <w:b w:val="0"/>
          <w:color w:val="auto"/>
        </w:rPr>
        <w:commentReference w:id="5"/>
      </w:r>
    </w:p>
    <w:p w14:paraId="25D27F4A"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769F96D"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00F68D38" w14:textId="77777777" w:rsidTr="005E4659">
        <w:tc>
          <w:tcPr>
            <w:tcW w:w="1908" w:type="dxa"/>
          </w:tcPr>
          <w:p w14:paraId="57927F45" w14:textId="77777777" w:rsidR="00914E26" w:rsidRPr="00460028" w:rsidRDefault="00914E26" w:rsidP="00414698">
            <w:pPr>
              <w:pStyle w:val="Tableheading"/>
            </w:pPr>
            <w:r w:rsidRPr="00460028">
              <w:t>Date</w:t>
            </w:r>
          </w:p>
        </w:tc>
        <w:tc>
          <w:tcPr>
            <w:tcW w:w="3576" w:type="dxa"/>
          </w:tcPr>
          <w:p w14:paraId="2A296E82" w14:textId="77777777" w:rsidR="00914E26" w:rsidRPr="00460028" w:rsidRDefault="00914E26" w:rsidP="00414698">
            <w:pPr>
              <w:pStyle w:val="Tableheading"/>
            </w:pPr>
            <w:r w:rsidRPr="00460028">
              <w:t>Page / Section Revised</w:t>
            </w:r>
          </w:p>
        </w:tc>
        <w:tc>
          <w:tcPr>
            <w:tcW w:w="5001" w:type="dxa"/>
          </w:tcPr>
          <w:p w14:paraId="12812F0C" w14:textId="77777777" w:rsidR="00914E26" w:rsidRPr="00460028" w:rsidRDefault="00914E26" w:rsidP="00414698">
            <w:pPr>
              <w:pStyle w:val="Tableheading"/>
            </w:pPr>
            <w:r w:rsidRPr="00460028">
              <w:t>Requirement for Revision</w:t>
            </w:r>
          </w:p>
        </w:tc>
      </w:tr>
      <w:tr w:rsidR="005E4659" w:rsidRPr="00460028" w14:paraId="05106CE3" w14:textId="77777777" w:rsidTr="005E4659">
        <w:trPr>
          <w:trHeight w:val="851"/>
        </w:trPr>
        <w:tc>
          <w:tcPr>
            <w:tcW w:w="1908" w:type="dxa"/>
            <w:vAlign w:val="center"/>
          </w:tcPr>
          <w:p w14:paraId="0D94571E" w14:textId="77777777" w:rsidR="00914E26" w:rsidRPr="00C27E08" w:rsidRDefault="00914E26" w:rsidP="00914E26">
            <w:pPr>
              <w:pStyle w:val="Tabletext"/>
            </w:pPr>
          </w:p>
        </w:tc>
        <w:tc>
          <w:tcPr>
            <w:tcW w:w="3576" w:type="dxa"/>
            <w:vAlign w:val="center"/>
          </w:tcPr>
          <w:p w14:paraId="0EDECF1A" w14:textId="77777777" w:rsidR="00914E26" w:rsidRPr="00C27E08" w:rsidRDefault="00914E26" w:rsidP="00914E26">
            <w:pPr>
              <w:pStyle w:val="Tabletext"/>
            </w:pPr>
          </w:p>
        </w:tc>
        <w:tc>
          <w:tcPr>
            <w:tcW w:w="5001" w:type="dxa"/>
            <w:vAlign w:val="center"/>
          </w:tcPr>
          <w:p w14:paraId="14BBD614" w14:textId="77777777" w:rsidR="00914E26" w:rsidRPr="00460028" w:rsidRDefault="00914E26" w:rsidP="00914E26">
            <w:pPr>
              <w:pStyle w:val="Tabletext"/>
            </w:pPr>
          </w:p>
        </w:tc>
      </w:tr>
      <w:tr w:rsidR="005E4659" w:rsidRPr="00460028" w14:paraId="51800860" w14:textId="77777777" w:rsidTr="005E4659">
        <w:trPr>
          <w:trHeight w:val="851"/>
        </w:trPr>
        <w:tc>
          <w:tcPr>
            <w:tcW w:w="1908" w:type="dxa"/>
            <w:vAlign w:val="center"/>
          </w:tcPr>
          <w:p w14:paraId="622DF15B" w14:textId="77777777" w:rsidR="00914E26" w:rsidRPr="00460028" w:rsidRDefault="00914E26" w:rsidP="00914E26">
            <w:pPr>
              <w:pStyle w:val="Tabletext"/>
            </w:pPr>
          </w:p>
        </w:tc>
        <w:tc>
          <w:tcPr>
            <w:tcW w:w="3576" w:type="dxa"/>
            <w:vAlign w:val="center"/>
          </w:tcPr>
          <w:p w14:paraId="17910AB0" w14:textId="77777777" w:rsidR="00914E26" w:rsidRPr="00460028" w:rsidRDefault="00914E26" w:rsidP="00914E26">
            <w:pPr>
              <w:pStyle w:val="Tabletext"/>
            </w:pPr>
          </w:p>
        </w:tc>
        <w:tc>
          <w:tcPr>
            <w:tcW w:w="5001" w:type="dxa"/>
            <w:vAlign w:val="center"/>
          </w:tcPr>
          <w:p w14:paraId="3253BCD5" w14:textId="77777777" w:rsidR="00914E26" w:rsidRPr="00460028" w:rsidRDefault="00914E26" w:rsidP="00914E26">
            <w:pPr>
              <w:pStyle w:val="Tabletext"/>
            </w:pPr>
          </w:p>
        </w:tc>
      </w:tr>
      <w:tr w:rsidR="005E4659" w:rsidRPr="00460028" w14:paraId="25ACA007" w14:textId="77777777" w:rsidTr="005E4659">
        <w:trPr>
          <w:trHeight w:val="851"/>
        </w:trPr>
        <w:tc>
          <w:tcPr>
            <w:tcW w:w="1908" w:type="dxa"/>
            <w:vAlign w:val="center"/>
          </w:tcPr>
          <w:p w14:paraId="37CE3247" w14:textId="77777777" w:rsidR="00914E26" w:rsidRPr="00460028" w:rsidRDefault="00914E26" w:rsidP="00914E26">
            <w:pPr>
              <w:pStyle w:val="Tabletext"/>
            </w:pPr>
          </w:p>
        </w:tc>
        <w:tc>
          <w:tcPr>
            <w:tcW w:w="3576" w:type="dxa"/>
            <w:vAlign w:val="center"/>
          </w:tcPr>
          <w:p w14:paraId="7C6B9ABE" w14:textId="77777777" w:rsidR="00914E26" w:rsidRPr="00460028" w:rsidRDefault="00914E26" w:rsidP="00914E26">
            <w:pPr>
              <w:pStyle w:val="Tabletext"/>
            </w:pPr>
          </w:p>
        </w:tc>
        <w:tc>
          <w:tcPr>
            <w:tcW w:w="5001" w:type="dxa"/>
            <w:vAlign w:val="center"/>
          </w:tcPr>
          <w:p w14:paraId="471C59C4" w14:textId="77777777" w:rsidR="00914E26" w:rsidRPr="00460028" w:rsidRDefault="00914E26" w:rsidP="00914E26">
            <w:pPr>
              <w:pStyle w:val="Tabletext"/>
            </w:pPr>
          </w:p>
        </w:tc>
      </w:tr>
      <w:tr w:rsidR="005E4659" w:rsidRPr="00460028" w14:paraId="55049B3C" w14:textId="77777777" w:rsidTr="005E4659">
        <w:trPr>
          <w:trHeight w:val="851"/>
        </w:trPr>
        <w:tc>
          <w:tcPr>
            <w:tcW w:w="1908" w:type="dxa"/>
            <w:vAlign w:val="center"/>
          </w:tcPr>
          <w:p w14:paraId="6A83EEA1" w14:textId="77777777" w:rsidR="00914E26" w:rsidRPr="00460028" w:rsidRDefault="00914E26" w:rsidP="00914E26">
            <w:pPr>
              <w:pStyle w:val="Tabletext"/>
            </w:pPr>
          </w:p>
        </w:tc>
        <w:tc>
          <w:tcPr>
            <w:tcW w:w="3576" w:type="dxa"/>
            <w:vAlign w:val="center"/>
          </w:tcPr>
          <w:p w14:paraId="62667845" w14:textId="77777777" w:rsidR="00914E26" w:rsidRPr="00460028" w:rsidRDefault="00914E26" w:rsidP="00914E26">
            <w:pPr>
              <w:pStyle w:val="Tabletext"/>
            </w:pPr>
          </w:p>
        </w:tc>
        <w:tc>
          <w:tcPr>
            <w:tcW w:w="5001" w:type="dxa"/>
            <w:vAlign w:val="center"/>
          </w:tcPr>
          <w:p w14:paraId="1020CA7B" w14:textId="77777777" w:rsidR="00914E26" w:rsidRPr="00460028" w:rsidRDefault="00914E26" w:rsidP="00914E26">
            <w:pPr>
              <w:pStyle w:val="Tabletext"/>
            </w:pPr>
          </w:p>
        </w:tc>
      </w:tr>
      <w:tr w:rsidR="005E4659" w:rsidRPr="00460028" w14:paraId="4553D0D3" w14:textId="77777777" w:rsidTr="005E4659">
        <w:trPr>
          <w:trHeight w:val="851"/>
        </w:trPr>
        <w:tc>
          <w:tcPr>
            <w:tcW w:w="1908" w:type="dxa"/>
            <w:vAlign w:val="center"/>
          </w:tcPr>
          <w:p w14:paraId="2CC442BC" w14:textId="77777777" w:rsidR="00914E26" w:rsidRPr="00460028" w:rsidRDefault="00914E26" w:rsidP="00914E26">
            <w:pPr>
              <w:pStyle w:val="Tabletext"/>
            </w:pPr>
          </w:p>
        </w:tc>
        <w:tc>
          <w:tcPr>
            <w:tcW w:w="3576" w:type="dxa"/>
            <w:vAlign w:val="center"/>
          </w:tcPr>
          <w:p w14:paraId="0040FC65" w14:textId="77777777" w:rsidR="00914E26" w:rsidRPr="00460028" w:rsidRDefault="00914E26" w:rsidP="00914E26">
            <w:pPr>
              <w:pStyle w:val="Tabletext"/>
            </w:pPr>
          </w:p>
        </w:tc>
        <w:tc>
          <w:tcPr>
            <w:tcW w:w="5001" w:type="dxa"/>
            <w:vAlign w:val="center"/>
          </w:tcPr>
          <w:p w14:paraId="581F56DA" w14:textId="77777777" w:rsidR="00914E26" w:rsidRPr="00460028" w:rsidRDefault="00914E26" w:rsidP="00914E26">
            <w:pPr>
              <w:pStyle w:val="Tabletext"/>
            </w:pPr>
          </w:p>
        </w:tc>
      </w:tr>
      <w:tr w:rsidR="005E4659" w:rsidRPr="00460028" w14:paraId="67A61ADF" w14:textId="77777777" w:rsidTr="005E4659">
        <w:trPr>
          <w:trHeight w:val="851"/>
        </w:trPr>
        <w:tc>
          <w:tcPr>
            <w:tcW w:w="1908" w:type="dxa"/>
            <w:vAlign w:val="center"/>
          </w:tcPr>
          <w:p w14:paraId="3B7EF888" w14:textId="77777777" w:rsidR="00914E26" w:rsidRPr="00460028" w:rsidRDefault="00914E26" w:rsidP="00914E26">
            <w:pPr>
              <w:pStyle w:val="Tabletext"/>
            </w:pPr>
          </w:p>
        </w:tc>
        <w:tc>
          <w:tcPr>
            <w:tcW w:w="3576" w:type="dxa"/>
            <w:vAlign w:val="center"/>
          </w:tcPr>
          <w:p w14:paraId="111156FF" w14:textId="77777777" w:rsidR="00914E26" w:rsidRPr="00460028" w:rsidRDefault="00914E26" w:rsidP="00914E26">
            <w:pPr>
              <w:pStyle w:val="Tabletext"/>
            </w:pPr>
          </w:p>
        </w:tc>
        <w:tc>
          <w:tcPr>
            <w:tcW w:w="5001" w:type="dxa"/>
            <w:vAlign w:val="center"/>
          </w:tcPr>
          <w:p w14:paraId="61432317" w14:textId="77777777" w:rsidR="00914E26" w:rsidRPr="00460028" w:rsidRDefault="00914E26" w:rsidP="00914E26">
            <w:pPr>
              <w:pStyle w:val="Tabletext"/>
            </w:pPr>
          </w:p>
        </w:tc>
      </w:tr>
      <w:tr w:rsidR="005E4659" w:rsidRPr="00460028" w14:paraId="67EFE11E" w14:textId="77777777" w:rsidTr="005E4659">
        <w:trPr>
          <w:trHeight w:val="851"/>
        </w:trPr>
        <w:tc>
          <w:tcPr>
            <w:tcW w:w="1908" w:type="dxa"/>
            <w:vAlign w:val="center"/>
          </w:tcPr>
          <w:p w14:paraId="6A61BDF7" w14:textId="77777777" w:rsidR="00914E26" w:rsidRPr="00460028" w:rsidRDefault="00914E26" w:rsidP="00914E26">
            <w:pPr>
              <w:pStyle w:val="Tabletext"/>
            </w:pPr>
          </w:p>
        </w:tc>
        <w:tc>
          <w:tcPr>
            <w:tcW w:w="3576" w:type="dxa"/>
            <w:vAlign w:val="center"/>
          </w:tcPr>
          <w:p w14:paraId="42C1AE95" w14:textId="77777777" w:rsidR="00914E26" w:rsidRPr="00460028" w:rsidRDefault="00914E26" w:rsidP="00914E26">
            <w:pPr>
              <w:pStyle w:val="Tabletext"/>
            </w:pPr>
          </w:p>
        </w:tc>
        <w:tc>
          <w:tcPr>
            <w:tcW w:w="5001" w:type="dxa"/>
            <w:vAlign w:val="center"/>
          </w:tcPr>
          <w:p w14:paraId="1B535BA7" w14:textId="77777777" w:rsidR="00914E26" w:rsidRPr="00460028" w:rsidRDefault="00914E26" w:rsidP="00914E26">
            <w:pPr>
              <w:pStyle w:val="Tabletext"/>
            </w:pPr>
          </w:p>
        </w:tc>
      </w:tr>
    </w:tbl>
    <w:p w14:paraId="789C38BA" w14:textId="77777777" w:rsidR="00914E26" w:rsidRDefault="00914E26" w:rsidP="00D74AE1"/>
    <w:p w14:paraId="1C3928F0"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0CDD3FE9" w14:textId="77777777" w:rsidR="004F46AC" w:rsidRDefault="004A4EC4">
      <w:pPr>
        <w:pStyle w:val="TOC1"/>
        <w:tabs>
          <w:tab w:val="left" w:pos="421"/>
        </w:tabs>
        <w:rPr>
          <w:rFonts w:eastAsiaTheme="minorEastAsia"/>
          <w:b w:val="0"/>
          <w:color w:val="auto"/>
          <w:sz w:val="24"/>
          <w:szCs w:val="24"/>
          <w:lang w:val="en-US" w:eastAsia="ja-JP"/>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4F46AC" w:rsidRPr="00503450">
        <w:t>1.</w:t>
      </w:r>
      <w:r w:rsidR="004F46AC">
        <w:rPr>
          <w:rFonts w:eastAsiaTheme="minorEastAsia"/>
          <w:b w:val="0"/>
          <w:color w:val="auto"/>
          <w:sz w:val="24"/>
          <w:szCs w:val="24"/>
          <w:lang w:val="en-US" w:eastAsia="ja-JP"/>
        </w:rPr>
        <w:tab/>
      </w:r>
      <w:r w:rsidR="004F46AC">
        <w:t>INTRODUCTION</w:t>
      </w:r>
      <w:r w:rsidR="004F46AC">
        <w:tab/>
      </w:r>
      <w:r w:rsidR="004F46AC">
        <w:fldChar w:fldCharType="begin"/>
      </w:r>
      <w:r w:rsidR="004F46AC">
        <w:instrText xml:space="preserve"> PAGEREF _Toc336181773 \h </w:instrText>
      </w:r>
      <w:r w:rsidR="004F46AC">
        <w:fldChar w:fldCharType="separate"/>
      </w:r>
      <w:r w:rsidR="004F46AC">
        <w:t>7</w:t>
      </w:r>
      <w:r w:rsidR="004F46AC">
        <w:fldChar w:fldCharType="end"/>
      </w:r>
    </w:p>
    <w:p w14:paraId="1EE98206" w14:textId="77777777" w:rsidR="004F46AC" w:rsidRDefault="004F46AC">
      <w:pPr>
        <w:pStyle w:val="TOC2"/>
        <w:tabs>
          <w:tab w:val="left" w:pos="574"/>
        </w:tabs>
        <w:rPr>
          <w:rFonts w:eastAsiaTheme="minorEastAsia"/>
          <w:color w:val="auto"/>
          <w:sz w:val="24"/>
          <w:szCs w:val="24"/>
          <w:lang w:val="en-US" w:eastAsia="ja-JP"/>
        </w:rPr>
      </w:pPr>
      <w:r w:rsidRPr="00503450">
        <w:t>1.1.</w:t>
      </w:r>
      <w:r>
        <w:rPr>
          <w:rFonts w:eastAsiaTheme="minorEastAsia"/>
          <w:color w:val="auto"/>
          <w:sz w:val="24"/>
          <w:szCs w:val="24"/>
          <w:lang w:val="en-US" w:eastAsia="ja-JP"/>
        </w:rPr>
        <w:tab/>
      </w:r>
      <w:r>
        <w:t>Performance requirements</w:t>
      </w:r>
      <w:r>
        <w:tab/>
      </w:r>
      <w:r>
        <w:fldChar w:fldCharType="begin"/>
      </w:r>
      <w:r>
        <w:instrText xml:space="preserve"> PAGEREF _Toc336181774 \h </w:instrText>
      </w:r>
      <w:r>
        <w:fldChar w:fldCharType="separate"/>
      </w:r>
      <w:r>
        <w:t>7</w:t>
      </w:r>
      <w:r>
        <w:fldChar w:fldCharType="end"/>
      </w:r>
    </w:p>
    <w:p w14:paraId="7F2DD261"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1.1.1.</w:t>
      </w:r>
      <w:r>
        <w:rPr>
          <w:rFonts w:eastAsiaTheme="minorEastAsia"/>
          <w:noProof/>
          <w:sz w:val="24"/>
          <w:szCs w:val="24"/>
          <w:lang w:val="en-US" w:eastAsia="ja-JP"/>
        </w:rPr>
        <w:tab/>
      </w:r>
      <w:r>
        <w:rPr>
          <w:noProof/>
        </w:rPr>
        <w:t>Requirements for a Backup Navigation System</w:t>
      </w:r>
      <w:r>
        <w:rPr>
          <w:noProof/>
        </w:rPr>
        <w:tab/>
      </w:r>
      <w:r>
        <w:rPr>
          <w:noProof/>
        </w:rPr>
        <w:fldChar w:fldCharType="begin"/>
      </w:r>
      <w:r>
        <w:rPr>
          <w:noProof/>
        </w:rPr>
        <w:instrText xml:space="preserve"> PAGEREF _Toc336181775 \h </w:instrText>
      </w:r>
      <w:r>
        <w:rPr>
          <w:noProof/>
        </w:rPr>
      </w:r>
      <w:r>
        <w:rPr>
          <w:noProof/>
        </w:rPr>
        <w:fldChar w:fldCharType="separate"/>
      </w:r>
      <w:r>
        <w:rPr>
          <w:noProof/>
        </w:rPr>
        <w:t>7</w:t>
      </w:r>
      <w:r>
        <w:rPr>
          <w:noProof/>
        </w:rPr>
        <w:fldChar w:fldCharType="end"/>
      </w:r>
    </w:p>
    <w:p w14:paraId="1BECC7E7" w14:textId="77777777" w:rsidR="004F46AC" w:rsidRDefault="004F46AC">
      <w:pPr>
        <w:pStyle w:val="TOC2"/>
        <w:tabs>
          <w:tab w:val="left" w:pos="574"/>
        </w:tabs>
        <w:rPr>
          <w:rFonts w:eastAsiaTheme="minorEastAsia"/>
          <w:color w:val="auto"/>
          <w:sz w:val="24"/>
          <w:szCs w:val="24"/>
          <w:lang w:val="en-US" w:eastAsia="ja-JP"/>
        </w:rPr>
      </w:pPr>
      <w:r w:rsidRPr="00503450">
        <w:t>1.2.</w:t>
      </w:r>
      <w:r>
        <w:rPr>
          <w:rFonts w:eastAsiaTheme="minorEastAsia"/>
          <w:color w:val="auto"/>
          <w:sz w:val="24"/>
          <w:szCs w:val="24"/>
          <w:lang w:val="en-US" w:eastAsia="ja-JP"/>
        </w:rPr>
        <w:tab/>
      </w:r>
      <w:r>
        <w:t xml:space="preserve">An Overview of </w:t>
      </w:r>
      <w:r w:rsidRPr="00503450">
        <w:t>e</w:t>
      </w:r>
      <w:r>
        <w:t>Loran</w:t>
      </w:r>
      <w:r>
        <w:tab/>
      </w:r>
      <w:r>
        <w:fldChar w:fldCharType="begin"/>
      </w:r>
      <w:r>
        <w:instrText xml:space="preserve"> PAGEREF _Toc336181776 \h </w:instrText>
      </w:r>
      <w:r>
        <w:fldChar w:fldCharType="separate"/>
      </w:r>
      <w:r>
        <w:t>8</w:t>
      </w:r>
      <w:r>
        <w:fldChar w:fldCharType="end"/>
      </w:r>
    </w:p>
    <w:p w14:paraId="65BDBBB6" w14:textId="77777777" w:rsidR="004F46AC" w:rsidRDefault="004F46AC">
      <w:pPr>
        <w:pStyle w:val="TOC2"/>
        <w:tabs>
          <w:tab w:val="left" w:pos="574"/>
        </w:tabs>
        <w:rPr>
          <w:rFonts w:eastAsiaTheme="minorEastAsia"/>
          <w:color w:val="auto"/>
          <w:sz w:val="24"/>
          <w:szCs w:val="24"/>
          <w:lang w:val="en-US" w:eastAsia="ja-JP"/>
        </w:rPr>
      </w:pPr>
      <w:r w:rsidRPr="00503450">
        <w:t>1.3.</w:t>
      </w:r>
      <w:r>
        <w:rPr>
          <w:rFonts w:eastAsiaTheme="minorEastAsia"/>
          <w:color w:val="auto"/>
          <w:sz w:val="24"/>
          <w:szCs w:val="24"/>
          <w:lang w:val="en-US" w:eastAsia="ja-JP"/>
        </w:rPr>
        <w:tab/>
      </w:r>
      <w:r w:rsidRPr="00503450">
        <w:t>e</w:t>
      </w:r>
      <w:r>
        <w:t>Loran signal structure</w:t>
      </w:r>
      <w:r>
        <w:tab/>
      </w:r>
      <w:r>
        <w:fldChar w:fldCharType="begin"/>
      </w:r>
      <w:r>
        <w:instrText xml:space="preserve"> PAGEREF _Toc336181777 \h </w:instrText>
      </w:r>
      <w:r>
        <w:fldChar w:fldCharType="separate"/>
      </w:r>
      <w:r>
        <w:t>10</w:t>
      </w:r>
      <w:r>
        <w:fldChar w:fldCharType="end"/>
      </w:r>
    </w:p>
    <w:p w14:paraId="3AD72A4E" w14:textId="77777777" w:rsidR="004F46AC" w:rsidRDefault="004F46AC">
      <w:pPr>
        <w:pStyle w:val="TOC2"/>
        <w:tabs>
          <w:tab w:val="left" w:pos="574"/>
        </w:tabs>
        <w:rPr>
          <w:rFonts w:eastAsiaTheme="minorEastAsia"/>
          <w:color w:val="auto"/>
          <w:sz w:val="24"/>
          <w:szCs w:val="24"/>
          <w:lang w:val="en-US" w:eastAsia="ja-JP"/>
        </w:rPr>
      </w:pPr>
      <w:r w:rsidRPr="00503450">
        <w:t>1.4.</w:t>
      </w:r>
      <w:r>
        <w:rPr>
          <w:rFonts w:eastAsiaTheme="minorEastAsia"/>
          <w:color w:val="auto"/>
          <w:sz w:val="24"/>
          <w:szCs w:val="24"/>
          <w:lang w:val="en-US" w:eastAsia="ja-JP"/>
        </w:rPr>
        <w:tab/>
      </w:r>
      <w:r>
        <w:t>Recommended reading</w:t>
      </w:r>
      <w:r>
        <w:tab/>
      </w:r>
      <w:r>
        <w:fldChar w:fldCharType="begin"/>
      </w:r>
      <w:r>
        <w:instrText xml:space="preserve"> PAGEREF _Toc336181778 \h </w:instrText>
      </w:r>
      <w:r>
        <w:fldChar w:fldCharType="separate"/>
      </w:r>
      <w:r>
        <w:t>13</w:t>
      </w:r>
      <w:r>
        <w:fldChar w:fldCharType="end"/>
      </w:r>
    </w:p>
    <w:p w14:paraId="6B7ECF78" w14:textId="77777777" w:rsidR="004F46AC" w:rsidRDefault="004F46AC">
      <w:pPr>
        <w:pStyle w:val="TOC2"/>
        <w:tabs>
          <w:tab w:val="left" w:pos="574"/>
        </w:tabs>
        <w:rPr>
          <w:rFonts w:eastAsiaTheme="minorEastAsia"/>
          <w:color w:val="auto"/>
          <w:sz w:val="24"/>
          <w:szCs w:val="24"/>
          <w:lang w:val="en-US" w:eastAsia="ja-JP"/>
        </w:rPr>
      </w:pPr>
      <w:r w:rsidRPr="00503450">
        <w:t>1.5.</w:t>
      </w:r>
      <w:r>
        <w:rPr>
          <w:rFonts w:eastAsiaTheme="minorEastAsia"/>
          <w:color w:val="auto"/>
          <w:sz w:val="24"/>
          <w:szCs w:val="24"/>
          <w:lang w:val="en-US" w:eastAsia="ja-JP"/>
        </w:rPr>
        <w:tab/>
      </w:r>
      <w:r>
        <w:t xml:space="preserve">The development of </w:t>
      </w:r>
      <w:r w:rsidRPr="00503450">
        <w:t>e</w:t>
      </w:r>
      <w:r>
        <w:t>Loran</w:t>
      </w:r>
      <w:r>
        <w:tab/>
      </w:r>
      <w:r>
        <w:fldChar w:fldCharType="begin"/>
      </w:r>
      <w:r>
        <w:instrText xml:space="preserve"> PAGEREF _Toc336181779 \h </w:instrText>
      </w:r>
      <w:r>
        <w:fldChar w:fldCharType="separate"/>
      </w:r>
      <w:r>
        <w:t>14</w:t>
      </w:r>
      <w:r>
        <w:fldChar w:fldCharType="end"/>
      </w:r>
    </w:p>
    <w:p w14:paraId="7AEA2653"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1.5.1.</w:t>
      </w:r>
      <w:r>
        <w:rPr>
          <w:rFonts w:eastAsiaTheme="minorEastAsia"/>
          <w:noProof/>
          <w:sz w:val="24"/>
          <w:szCs w:val="24"/>
          <w:lang w:val="en-US" w:eastAsia="ja-JP"/>
        </w:rPr>
        <w:tab/>
      </w:r>
      <w:r>
        <w:rPr>
          <w:noProof/>
        </w:rPr>
        <w:t>Positioning Mode and eLoran Receivers</w:t>
      </w:r>
      <w:r>
        <w:rPr>
          <w:noProof/>
        </w:rPr>
        <w:tab/>
      </w:r>
      <w:r>
        <w:rPr>
          <w:noProof/>
        </w:rPr>
        <w:fldChar w:fldCharType="begin"/>
      </w:r>
      <w:r>
        <w:rPr>
          <w:noProof/>
        </w:rPr>
        <w:instrText xml:space="preserve"> PAGEREF _Toc336181780 \h </w:instrText>
      </w:r>
      <w:r>
        <w:rPr>
          <w:noProof/>
        </w:rPr>
      </w:r>
      <w:r>
        <w:rPr>
          <w:noProof/>
        </w:rPr>
        <w:fldChar w:fldCharType="separate"/>
      </w:r>
      <w:r>
        <w:rPr>
          <w:noProof/>
        </w:rPr>
        <w:t>14</w:t>
      </w:r>
      <w:r>
        <w:rPr>
          <w:noProof/>
        </w:rPr>
        <w:fldChar w:fldCharType="end"/>
      </w:r>
    </w:p>
    <w:p w14:paraId="03CD488D"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1.5.2.</w:t>
      </w:r>
      <w:r>
        <w:rPr>
          <w:rFonts w:eastAsiaTheme="minorEastAsia"/>
          <w:noProof/>
          <w:sz w:val="24"/>
          <w:szCs w:val="24"/>
          <w:lang w:val="en-US" w:eastAsia="ja-JP"/>
        </w:rPr>
        <w:tab/>
      </w:r>
      <w:r>
        <w:rPr>
          <w:noProof/>
        </w:rPr>
        <w:t>The Loran Data Channel</w:t>
      </w:r>
      <w:r>
        <w:rPr>
          <w:noProof/>
        </w:rPr>
        <w:tab/>
      </w:r>
      <w:r>
        <w:rPr>
          <w:noProof/>
        </w:rPr>
        <w:fldChar w:fldCharType="begin"/>
      </w:r>
      <w:r>
        <w:rPr>
          <w:noProof/>
        </w:rPr>
        <w:instrText xml:space="preserve"> PAGEREF _Toc336181781 \h </w:instrText>
      </w:r>
      <w:r>
        <w:rPr>
          <w:noProof/>
        </w:rPr>
      </w:r>
      <w:r>
        <w:rPr>
          <w:noProof/>
        </w:rPr>
        <w:fldChar w:fldCharType="separate"/>
      </w:r>
      <w:r>
        <w:rPr>
          <w:noProof/>
        </w:rPr>
        <w:t>15</w:t>
      </w:r>
      <w:r>
        <w:rPr>
          <w:noProof/>
        </w:rPr>
        <w:fldChar w:fldCharType="end"/>
      </w:r>
    </w:p>
    <w:p w14:paraId="7564E937"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1.5.3.</w:t>
      </w:r>
      <w:r>
        <w:rPr>
          <w:rFonts w:eastAsiaTheme="minorEastAsia"/>
          <w:noProof/>
          <w:sz w:val="24"/>
          <w:szCs w:val="24"/>
          <w:lang w:val="en-US" w:eastAsia="ja-JP"/>
        </w:rPr>
        <w:tab/>
      </w:r>
      <w:r>
        <w:rPr>
          <w:noProof/>
        </w:rPr>
        <w:t>Additional Secondary Factors (ASF)</w:t>
      </w:r>
      <w:r>
        <w:rPr>
          <w:noProof/>
        </w:rPr>
        <w:tab/>
      </w:r>
      <w:r>
        <w:rPr>
          <w:noProof/>
        </w:rPr>
        <w:fldChar w:fldCharType="begin"/>
      </w:r>
      <w:r>
        <w:rPr>
          <w:noProof/>
        </w:rPr>
        <w:instrText xml:space="preserve"> PAGEREF _Toc336181782 \h </w:instrText>
      </w:r>
      <w:r>
        <w:rPr>
          <w:noProof/>
        </w:rPr>
      </w:r>
      <w:r>
        <w:rPr>
          <w:noProof/>
        </w:rPr>
        <w:fldChar w:fldCharType="separate"/>
      </w:r>
      <w:r>
        <w:rPr>
          <w:noProof/>
        </w:rPr>
        <w:t>15</w:t>
      </w:r>
      <w:r>
        <w:rPr>
          <w:noProof/>
        </w:rPr>
        <w:fldChar w:fldCharType="end"/>
      </w:r>
    </w:p>
    <w:p w14:paraId="3B53D253"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1.5.4.</w:t>
      </w:r>
      <w:r>
        <w:rPr>
          <w:rFonts w:eastAsiaTheme="minorEastAsia"/>
          <w:noProof/>
          <w:sz w:val="24"/>
          <w:szCs w:val="24"/>
          <w:lang w:val="en-US" w:eastAsia="ja-JP"/>
        </w:rPr>
        <w:tab/>
      </w:r>
      <w:r>
        <w:rPr>
          <w:noProof/>
        </w:rPr>
        <w:t>DLoran</w:t>
      </w:r>
      <w:r>
        <w:rPr>
          <w:noProof/>
        </w:rPr>
        <w:tab/>
      </w:r>
      <w:r>
        <w:rPr>
          <w:noProof/>
        </w:rPr>
        <w:fldChar w:fldCharType="begin"/>
      </w:r>
      <w:r>
        <w:rPr>
          <w:noProof/>
        </w:rPr>
        <w:instrText xml:space="preserve"> PAGEREF _Toc336181783 \h </w:instrText>
      </w:r>
      <w:r>
        <w:rPr>
          <w:noProof/>
        </w:rPr>
      </w:r>
      <w:r>
        <w:rPr>
          <w:noProof/>
        </w:rPr>
        <w:fldChar w:fldCharType="separate"/>
      </w:r>
      <w:r>
        <w:rPr>
          <w:noProof/>
        </w:rPr>
        <w:t>18</w:t>
      </w:r>
      <w:r>
        <w:rPr>
          <w:noProof/>
        </w:rPr>
        <w:fldChar w:fldCharType="end"/>
      </w:r>
    </w:p>
    <w:p w14:paraId="19B890FF"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1.5.5.</w:t>
      </w:r>
      <w:r>
        <w:rPr>
          <w:rFonts w:eastAsiaTheme="minorEastAsia"/>
          <w:noProof/>
          <w:sz w:val="24"/>
          <w:szCs w:val="24"/>
          <w:lang w:val="en-US" w:eastAsia="ja-JP"/>
        </w:rPr>
        <w:tab/>
      </w:r>
      <w:r>
        <w:rPr>
          <w:noProof/>
        </w:rPr>
        <w:t>Time and Frequency Equipment</w:t>
      </w:r>
      <w:r>
        <w:rPr>
          <w:noProof/>
        </w:rPr>
        <w:tab/>
      </w:r>
      <w:r>
        <w:rPr>
          <w:noProof/>
        </w:rPr>
        <w:fldChar w:fldCharType="begin"/>
      </w:r>
      <w:r>
        <w:rPr>
          <w:noProof/>
        </w:rPr>
        <w:instrText xml:space="preserve"> PAGEREF _Toc336181784 \h </w:instrText>
      </w:r>
      <w:r>
        <w:rPr>
          <w:noProof/>
        </w:rPr>
      </w:r>
      <w:r>
        <w:rPr>
          <w:noProof/>
        </w:rPr>
        <w:fldChar w:fldCharType="separate"/>
      </w:r>
      <w:r>
        <w:rPr>
          <w:noProof/>
        </w:rPr>
        <w:t>19</w:t>
      </w:r>
      <w:r>
        <w:rPr>
          <w:noProof/>
        </w:rPr>
        <w:fldChar w:fldCharType="end"/>
      </w:r>
    </w:p>
    <w:p w14:paraId="589F4E1E"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1.5.6.</w:t>
      </w:r>
      <w:r>
        <w:rPr>
          <w:rFonts w:eastAsiaTheme="minorEastAsia"/>
          <w:noProof/>
          <w:sz w:val="24"/>
          <w:szCs w:val="24"/>
          <w:lang w:val="en-US" w:eastAsia="ja-JP"/>
        </w:rPr>
        <w:tab/>
      </w:r>
      <w:r>
        <w:rPr>
          <w:noProof/>
        </w:rPr>
        <w:t>Benefits of eLoran</w:t>
      </w:r>
      <w:r>
        <w:rPr>
          <w:noProof/>
        </w:rPr>
        <w:tab/>
      </w:r>
      <w:r>
        <w:rPr>
          <w:noProof/>
        </w:rPr>
        <w:fldChar w:fldCharType="begin"/>
      </w:r>
      <w:r>
        <w:rPr>
          <w:noProof/>
        </w:rPr>
        <w:instrText xml:space="preserve"> PAGEREF _Toc336181785 \h </w:instrText>
      </w:r>
      <w:r>
        <w:rPr>
          <w:noProof/>
        </w:rPr>
      </w:r>
      <w:r>
        <w:rPr>
          <w:noProof/>
        </w:rPr>
        <w:fldChar w:fldCharType="separate"/>
      </w:r>
      <w:r>
        <w:rPr>
          <w:noProof/>
        </w:rPr>
        <w:t>19</w:t>
      </w:r>
      <w:r>
        <w:rPr>
          <w:noProof/>
        </w:rPr>
        <w:fldChar w:fldCharType="end"/>
      </w:r>
    </w:p>
    <w:p w14:paraId="7284B9AD" w14:textId="77777777" w:rsidR="004F46AC" w:rsidRDefault="004F46AC">
      <w:pPr>
        <w:pStyle w:val="TOC2"/>
        <w:tabs>
          <w:tab w:val="left" w:pos="574"/>
        </w:tabs>
        <w:rPr>
          <w:rFonts w:eastAsiaTheme="minorEastAsia"/>
          <w:color w:val="auto"/>
          <w:sz w:val="24"/>
          <w:szCs w:val="24"/>
          <w:lang w:val="en-US" w:eastAsia="ja-JP"/>
        </w:rPr>
      </w:pPr>
      <w:r w:rsidRPr="00503450">
        <w:t>1.6.</w:t>
      </w:r>
      <w:r>
        <w:rPr>
          <w:rFonts w:eastAsiaTheme="minorEastAsia"/>
          <w:color w:val="auto"/>
          <w:sz w:val="24"/>
          <w:szCs w:val="24"/>
          <w:lang w:val="en-US" w:eastAsia="ja-JP"/>
        </w:rPr>
        <w:tab/>
      </w:r>
      <w:r>
        <w:t>Standards Process</w:t>
      </w:r>
      <w:r>
        <w:tab/>
      </w:r>
      <w:r>
        <w:fldChar w:fldCharType="begin"/>
      </w:r>
      <w:r>
        <w:instrText xml:space="preserve"> PAGEREF _Toc336181786 \h </w:instrText>
      </w:r>
      <w:r>
        <w:fldChar w:fldCharType="separate"/>
      </w:r>
      <w:r>
        <w:t>20</w:t>
      </w:r>
      <w:r>
        <w:fldChar w:fldCharType="end"/>
      </w:r>
    </w:p>
    <w:p w14:paraId="68D40773"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1.6.1.</w:t>
      </w:r>
      <w:r>
        <w:rPr>
          <w:rFonts w:eastAsiaTheme="minorEastAsia"/>
          <w:noProof/>
          <w:sz w:val="24"/>
          <w:szCs w:val="24"/>
          <w:lang w:val="en-US" w:eastAsia="ja-JP"/>
        </w:rPr>
        <w:tab/>
      </w:r>
      <w:r>
        <w:rPr>
          <w:noProof/>
        </w:rPr>
        <w:t>International Regulatory Bodies</w:t>
      </w:r>
      <w:r>
        <w:rPr>
          <w:noProof/>
        </w:rPr>
        <w:tab/>
      </w:r>
      <w:r>
        <w:rPr>
          <w:noProof/>
        </w:rPr>
        <w:fldChar w:fldCharType="begin"/>
      </w:r>
      <w:r>
        <w:rPr>
          <w:noProof/>
        </w:rPr>
        <w:instrText xml:space="preserve"> PAGEREF _Toc336181787 \h </w:instrText>
      </w:r>
      <w:r>
        <w:rPr>
          <w:noProof/>
        </w:rPr>
      </w:r>
      <w:r>
        <w:rPr>
          <w:noProof/>
        </w:rPr>
        <w:fldChar w:fldCharType="separate"/>
      </w:r>
      <w:r>
        <w:rPr>
          <w:noProof/>
        </w:rPr>
        <w:t>20</w:t>
      </w:r>
      <w:r>
        <w:rPr>
          <w:noProof/>
        </w:rPr>
        <w:fldChar w:fldCharType="end"/>
      </w:r>
    </w:p>
    <w:p w14:paraId="292EAC4F"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1.6.2.</w:t>
      </w:r>
      <w:r>
        <w:rPr>
          <w:rFonts w:eastAsiaTheme="minorEastAsia"/>
          <w:noProof/>
          <w:sz w:val="24"/>
          <w:szCs w:val="24"/>
          <w:lang w:val="en-US" w:eastAsia="ja-JP"/>
        </w:rPr>
        <w:tab/>
      </w:r>
      <w:r>
        <w:rPr>
          <w:noProof/>
        </w:rPr>
        <w:t>The Status of Loran Documentation</w:t>
      </w:r>
      <w:r>
        <w:rPr>
          <w:noProof/>
        </w:rPr>
        <w:tab/>
      </w:r>
      <w:r>
        <w:rPr>
          <w:noProof/>
        </w:rPr>
        <w:fldChar w:fldCharType="begin"/>
      </w:r>
      <w:r>
        <w:rPr>
          <w:noProof/>
        </w:rPr>
        <w:instrText xml:space="preserve"> PAGEREF _Toc336181788 \h </w:instrText>
      </w:r>
      <w:r>
        <w:rPr>
          <w:noProof/>
        </w:rPr>
      </w:r>
      <w:r>
        <w:rPr>
          <w:noProof/>
        </w:rPr>
        <w:fldChar w:fldCharType="separate"/>
      </w:r>
      <w:r>
        <w:rPr>
          <w:noProof/>
        </w:rPr>
        <w:t>20</w:t>
      </w:r>
      <w:r>
        <w:rPr>
          <w:noProof/>
        </w:rPr>
        <w:fldChar w:fldCharType="end"/>
      </w:r>
    </w:p>
    <w:p w14:paraId="7E950AE4" w14:textId="77777777" w:rsidR="004F46AC" w:rsidRDefault="004F46AC">
      <w:pPr>
        <w:pStyle w:val="TOC1"/>
        <w:tabs>
          <w:tab w:val="left" w:pos="421"/>
        </w:tabs>
        <w:rPr>
          <w:rFonts w:eastAsiaTheme="minorEastAsia"/>
          <w:b w:val="0"/>
          <w:color w:val="auto"/>
          <w:sz w:val="24"/>
          <w:szCs w:val="24"/>
          <w:lang w:val="en-US" w:eastAsia="ja-JP"/>
        </w:rPr>
      </w:pPr>
      <w:r w:rsidRPr="00503450">
        <w:t>2.</w:t>
      </w:r>
      <w:r>
        <w:rPr>
          <w:rFonts w:eastAsiaTheme="minorEastAsia"/>
          <w:b w:val="0"/>
          <w:color w:val="auto"/>
          <w:sz w:val="24"/>
          <w:szCs w:val="24"/>
          <w:lang w:val="en-US" w:eastAsia="ja-JP"/>
        </w:rPr>
        <w:tab/>
      </w:r>
      <w:r>
        <w:t xml:space="preserve">THE PROCESS OF ESTABLISHING AN </w:t>
      </w:r>
      <w:r w:rsidRPr="00503450">
        <w:t>e</w:t>
      </w:r>
      <w:r>
        <w:t>LORAN SERVICE</w:t>
      </w:r>
      <w:r>
        <w:tab/>
      </w:r>
      <w:r>
        <w:fldChar w:fldCharType="begin"/>
      </w:r>
      <w:r>
        <w:instrText xml:space="preserve"> PAGEREF _Toc336181789 \h </w:instrText>
      </w:r>
      <w:r>
        <w:fldChar w:fldCharType="separate"/>
      </w:r>
      <w:r>
        <w:t>21</w:t>
      </w:r>
      <w:r>
        <w:fldChar w:fldCharType="end"/>
      </w:r>
    </w:p>
    <w:p w14:paraId="36CFD5DF" w14:textId="77777777" w:rsidR="004F46AC" w:rsidRDefault="004F46AC">
      <w:pPr>
        <w:pStyle w:val="TOC2"/>
        <w:tabs>
          <w:tab w:val="left" w:pos="574"/>
        </w:tabs>
        <w:rPr>
          <w:rFonts w:eastAsiaTheme="minorEastAsia"/>
          <w:color w:val="auto"/>
          <w:sz w:val="24"/>
          <w:szCs w:val="24"/>
          <w:lang w:val="en-US" w:eastAsia="ja-JP"/>
        </w:rPr>
      </w:pPr>
      <w:r w:rsidRPr="00503450">
        <w:t>2.1.</w:t>
      </w:r>
      <w:r>
        <w:rPr>
          <w:rFonts w:eastAsiaTheme="minorEastAsia"/>
          <w:color w:val="auto"/>
          <w:sz w:val="24"/>
          <w:szCs w:val="24"/>
          <w:lang w:val="en-US" w:eastAsia="ja-JP"/>
        </w:rPr>
        <w:tab/>
      </w:r>
      <w:r>
        <w:t>System Coverage Prediction and Analysis</w:t>
      </w:r>
      <w:r>
        <w:tab/>
      </w:r>
      <w:r>
        <w:fldChar w:fldCharType="begin"/>
      </w:r>
      <w:r>
        <w:instrText xml:space="preserve"> PAGEREF _Toc336181790 \h </w:instrText>
      </w:r>
      <w:r>
        <w:fldChar w:fldCharType="separate"/>
      </w:r>
      <w:r>
        <w:t>23</w:t>
      </w:r>
      <w:r>
        <w:fldChar w:fldCharType="end"/>
      </w:r>
    </w:p>
    <w:p w14:paraId="5E4CAE64" w14:textId="77777777" w:rsidR="004F46AC" w:rsidRDefault="004F46AC">
      <w:pPr>
        <w:pStyle w:val="TOC2"/>
        <w:tabs>
          <w:tab w:val="left" w:pos="574"/>
        </w:tabs>
        <w:rPr>
          <w:rFonts w:eastAsiaTheme="minorEastAsia"/>
          <w:color w:val="auto"/>
          <w:sz w:val="24"/>
          <w:szCs w:val="24"/>
          <w:lang w:val="en-US" w:eastAsia="ja-JP"/>
        </w:rPr>
      </w:pPr>
      <w:r w:rsidRPr="00503450">
        <w:t>2.2.</w:t>
      </w:r>
      <w:r>
        <w:rPr>
          <w:rFonts w:eastAsiaTheme="minorEastAsia"/>
          <w:color w:val="auto"/>
          <w:sz w:val="24"/>
          <w:szCs w:val="24"/>
          <w:lang w:val="en-US" w:eastAsia="ja-JP"/>
        </w:rPr>
        <w:tab/>
      </w:r>
      <w:r>
        <w:t>Identify Locations for Transmitters</w:t>
      </w:r>
      <w:r>
        <w:tab/>
      </w:r>
      <w:r>
        <w:fldChar w:fldCharType="begin"/>
      </w:r>
      <w:r>
        <w:instrText xml:space="preserve"> PAGEREF _Toc336181791 \h </w:instrText>
      </w:r>
      <w:r>
        <w:fldChar w:fldCharType="separate"/>
      </w:r>
      <w:r>
        <w:t>23</w:t>
      </w:r>
      <w:r>
        <w:fldChar w:fldCharType="end"/>
      </w:r>
    </w:p>
    <w:p w14:paraId="3ECB1F20" w14:textId="77777777" w:rsidR="004F46AC" w:rsidRDefault="004F46AC">
      <w:pPr>
        <w:pStyle w:val="TOC2"/>
        <w:tabs>
          <w:tab w:val="left" w:pos="574"/>
        </w:tabs>
        <w:rPr>
          <w:rFonts w:eastAsiaTheme="minorEastAsia"/>
          <w:color w:val="auto"/>
          <w:sz w:val="24"/>
          <w:szCs w:val="24"/>
          <w:lang w:val="en-US" w:eastAsia="ja-JP"/>
        </w:rPr>
      </w:pPr>
      <w:r w:rsidRPr="00503450">
        <w:t>2.3.</w:t>
      </w:r>
      <w:r>
        <w:rPr>
          <w:rFonts w:eastAsiaTheme="minorEastAsia"/>
          <w:color w:val="auto"/>
          <w:sz w:val="24"/>
          <w:szCs w:val="24"/>
          <w:lang w:val="en-US" w:eastAsia="ja-JP"/>
        </w:rPr>
        <w:tab/>
      </w:r>
      <w:r>
        <w:t>Select Group Repetition Interval(s)</w:t>
      </w:r>
      <w:r>
        <w:tab/>
      </w:r>
      <w:r>
        <w:fldChar w:fldCharType="begin"/>
      </w:r>
      <w:r>
        <w:instrText xml:space="preserve"> PAGEREF _Toc336181792 \h </w:instrText>
      </w:r>
      <w:r>
        <w:fldChar w:fldCharType="separate"/>
      </w:r>
      <w:r>
        <w:t>24</w:t>
      </w:r>
      <w:r>
        <w:fldChar w:fldCharType="end"/>
      </w:r>
    </w:p>
    <w:p w14:paraId="1175DE94" w14:textId="77777777" w:rsidR="004F46AC" w:rsidRDefault="004F46AC">
      <w:pPr>
        <w:pStyle w:val="TOC2"/>
        <w:tabs>
          <w:tab w:val="left" w:pos="574"/>
        </w:tabs>
        <w:rPr>
          <w:rFonts w:eastAsiaTheme="minorEastAsia"/>
          <w:color w:val="auto"/>
          <w:sz w:val="24"/>
          <w:szCs w:val="24"/>
          <w:lang w:val="en-US" w:eastAsia="ja-JP"/>
        </w:rPr>
      </w:pPr>
      <w:r w:rsidRPr="00503450">
        <w:t>2.4.</w:t>
      </w:r>
      <w:r>
        <w:rPr>
          <w:rFonts w:eastAsiaTheme="minorEastAsia"/>
          <w:color w:val="auto"/>
          <w:sz w:val="24"/>
          <w:szCs w:val="24"/>
          <w:lang w:val="en-US" w:eastAsia="ja-JP"/>
        </w:rPr>
        <w:tab/>
      </w:r>
      <w:r>
        <w:t>Install Transmitters</w:t>
      </w:r>
      <w:r>
        <w:tab/>
      </w:r>
      <w:r>
        <w:fldChar w:fldCharType="begin"/>
      </w:r>
      <w:r>
        <w:instrText xml:space="preserve"> PAGEREF _Toc336181793 \h </w:instrText>
      </w:r>
      <w:r>
        <w:fldChar w:fldCharType="separate"/>
      </w:r>
      <w:r>
        <w:t>24</w:t>
      </w:r>
      <w:r>
        <w:fldChar w:fldCharType="end"/>
      </w:r>
    </w:p>
    <w:p w14:paraId="71E87FF8" w14:textId="77777777" w:rsidR="004F46AC" w:rsidRDefault="004F46AC">
      <w:pPr>
        <w:pStyle w:val="TOC2"/>
        <w:tabs>
          <w:tab w:val="left" w:pos="574"/>
        </w:tabs>
        <w:rPr>
          <w:rFonts w:eastAsiaTheme="minorEastAsia"/>
          <w:color w:val="auto"/>
          <w:sz w:val="24"/>
          <w:szCs w:val="24"/>
          <w:lang w:val="en-US" w:eastAsia="ja-JP"/>
        </w:rPr>
      </w:pPr>
      <w:r w:rsidRPr="00503450">
        <w:t>2.5.</w:t>
      </w:r>
      <w:r>
        <w:rPr>
          <w:rFonts w:eastAsiaTheme="minorEastAsia"/>
          <w:color w:val="auto"/>
          <w:sz w:val="24"/>
          <w:szCs w:val="24"/>
          <w:lang w:val="en-US" w:eastAsia="ja-JP"/>
        </w:rPr>
        <w:tab/>
      </w:r>
      <w:r>
        <w:t>Establish Applications - Voyage Phase Requirements</w:t>
      </w:r>
      <w:r>
        <w:tab/>
      </w:r>
      <w:r>
        <w:fldChar w:fldCharType="begin"/>
      </w:r>
      <w:r>
        <w:instrText xml:space="preserve"> PAGEREF _Toc336181794 \h </w:instrText>
      </w:r>
      <w:r>
        <w:fldChar w:fldCharType="separate"/>
      </w:r>
      <w:r>
        <w:t>24</w:t>
      </w:r>
      <w:r>
        <w:fldChar w:fldCharType="end"/>
      </w:r>
    </w:p>
    <w:p w14:paraId="7F8253BD"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2.5.1.</w:t>
      </w:r>
      <w:r>
        <w:rPr>
          <w:rFonts w:eastAsiaTheme="minorEastAsia"/>
          <w:noProof/>
          <w:sz w:val="24"/>
          <w:szCs w:val="24"/>
          <w:lang w:val="en-US" w:eastAsia="ja-JP"/>
        </w:rPr>
        <w:tab/>
      </w:r>
      <w:r>
        <w:rPr>
          <w:noProof/>
        </w:rPr>
        <w:t>Port Approach Voyage Phase</w:t>
      </w:r>
      <w:r>
        <w:rPr>
          <w:noProof/>
        </w:rPr>
        <w:tab/>
      </w:r>
      <w:r>
        <w:rPr>
          <w:noProof/>
        </w:rPr>
        <w:fldChar w:fldCharType="begin"/>
      </w:r>
      <w:r>
        <w:rPr>
          <w:noProof/>
        </w:rPr>
        <w:instrText xml:space="preserve"> PAGEREF _Toc336181795 \h </w:instrText>
      </w:r>
      <w:r>
        <w:rPr>
          <w:noProof/>
        </w:rPr>
      </w:r>
      <w:r>
        <w:rPr>
          <w:noProof/>
        </w:rPr>
        <w:fldChar w:fldCharType="separate"/>
      </w:r>
      <w:r>
        <w:rPr>
          <w:noProof/>
        </w:rPr>
        <w:t>25</w:t>
      </w:r>
      <w:r>
        <w:rPr>
          <w:noProof/>
        </w:rPr>
        <w:fldChar w:fldCharType="end"/>
      </w:r>
    </w:p>
    <w:p w14:paraId="45D3633C"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2.5.2.</w:t>
      </w:r>
      <w:r>
        <w:rPr>
          <w:rFonts w:eastAsiaTheme="minorEastAsia"/>
          <w:noProof/>
          <w:sz w:val="24"/>
          <w:szCs w:val="24"/>
          <w:lang w:val="en-US" w:eastAsia="ja-JP"/>
        </w:rPr>
        <w:tab/>
      </w:r>
      <w:r>
        <w:rPr>
          <w:noProof/>
        </w:rPr>
        <w:t>Coastal Voyage Phase</w:t>
      </w:r>
      <w:r>
        <w:rPr>
          <w:noProof/>
        </w:rPr>
        <w:tab/>
      </w:r>
      <w:r>
        <w:rPr>
          <w:noProof/>
        </w:rPr>
        <w:fldChar w:fldCharType="begin"/>
      </w:r>
      <w:r>
        <w:rPr>
          <w:noProof/>
        </w:rPr>
        <w:instrText xml:space="preserve"> PAGEREF _Toc336181796 \h </w:instrText>
      </w:r>
      <w:r>
        <w:rPr>
          <w:noProof/>
        </w:rPr>
      </w:r>
      <w:r>
        <w:rPr>
          <w:noProof/>
        </w:rPr>
        <w:fldChar w:fldCharType="separate"/>
      </w:r>
      <w:r>
        <w:rPr>
          <w:noProof/>
        </w:rPr>
        <w:t>26</w:t>
      </w:r>
      <w:r>
        <w:rPr>
          <w:noProof/>
        </w:rPr>
        <w:fldChar w:fldCharType="end"/>
      </w:r>
    </w:p>
    <w:p w14:paraId="5992CC16" w14:textId="77777777" w:rsidR="004F46AC" w:rsidRDefault="004F46AC">
      <w:pPr>
        <w:pStyle w:val="TOC1"/>
        <w:tabs>
          <w:tab w:val="left" w:pos="421"/>
        </w:tabs>
        <w:rPr>
          <w:rFonts w:eastAsiaTheme="minorEastAsia"/>
          <w:b w:val="0"/>
          <w:color w:val="auto"/>
          <w:sz w:val="24"/>
          <w:szCs w:val="24"/>
          <w:lang w:val="en-US" w:eastAsia="ja-JP"/>
        </w:rPr>
      </w:pPr>
      <w:r w:rsidRPr="00503450">
        <w:t>3.</w:t>
      </w:r>
      <w:r>
        <w:rPr>
          <w:rFonts w:eastAsiaTheme="minorEastAsia"/>
          <w:b w:val="0"/>
          <w:color w:val="auto"/>
          <w:sz w:val="24"/>
          <w:szCs w:val="24"/>
          <w:lang w:val="en-US" w:eastAsia="ja-JP"/>
        </w:rPr>
        <w:tab/>
      </w:r>
      <w:r>
        <w:t>OPERATIONAL ASPECTS</w:t>
      </w:r>
      <w:r>
        <w:tab/>
      </w:r>
      <w:r>
        <w:fldChar w:fldCharType="begin"/>
      </w:r>
      <w:r>
        <w:instrText xml:space="preserve"> PAGEREF _Toc336181797 \h </w:instrText>
      </w:r>
      <w:r>
        <w:fldChar w:fldCharType="separate"/>
      </w:r>
      <w:r>
        <w:t>27</w:t>
      </w:r>
      <w:r>
        <w:fldChar w:fldCharType="end"/>
      </w:r>
    </w:p>
    <w:p w14:paraId="6FAC5948" w14:textId="77777777" w:rsidR="004F46AC" w:rsidRDefault="004F46AC">
      <w:pPr>
        <w:pStyle w:val="TOC2"/>
        <w:tabs>
          <w:tab w:val="left" w:pos="574"/>
        </w:tabs>
        <w:rPr>
          <w:rFonts w:eastAsiaTheme="minorEastAsia"/>
          <w:color w:val="auto"/>
          <w:sz w:val="24"/>
          <w:szCs w:val="24"/>
          <w:lang w:val="en-US" w:eastAsia="ja-JP"/>
        </w:rPr>
      </w:pPr>
      <w:r w:rsidRPr="00503450">
        <w:t>3.1.</w:t>
      </w:r>
      <w:r>
        <w:rPr>
          <w:rFonts w:eastAsiaTheme="minorEastAsia"/>
          <w:color w:val="auto"/>
          <w:sz w:val="24"/>
          <w:szCs w:val="24"/>
          <w:lang w:val="en-US" w:eastAsia="ja-JP"/>
        </w:rPr>
        <w:tab/>
      </w:r>
      <w:r>
        <w:t>Concept of Operations</w:t>
      </w:r>
      <w:r>
        <w:tab/>
      </w:r>
      <w:r>
        <w:fldChar w:fldCharType="begin"/>
      </w:r>
      <w:r>
        <w:instrText xml:space="preserve"> PAGEREF _Toc336181798 \h </w:instrText>
      </w:r>
      <w:r>
        <w:fldChar w:fldCharType="separate"/>
      </w:r>
      <w:r>
        <w:t>27</w:t>
      </w:r>
      <w:r>
        <w:fldChar w:fldCharType="end"/>
      </w:r>
    </w:p>
    <w:p w14:paraId="41EA1192" w14:textId="77777777" w:rsidR="004F46AC" w:rsidRDefault="004F46AC">
      <w:pPr>
        <w:pStyle w:val="TOC2"/>
        <w:tabs>
          <w:tab w:val="left" w:pos="574"/>
        </w:tabs>
        <w:rPr>
          <w:rFonts w:eastAsiaTheme="minorEastAsia"/>
          <w:color w:val="auto"/>
          <w:sz w:val="24"/>
          <w:szCs w:val="24"/>
          <w:lang w:val="en-US" w:eastAsia="ja-JP"/>
        </w:rPr>
      </w:pPr>
      <w:r w:rsidRPr="00503450">
        <w:t>3.2.</w:t>
      </w:r>
      <w:r>
        <w:rPr>
          <w:rFonts w:eastAsiaTheme="minorEastAsia"/>
          <w:color w:val="auto"/>
          <w:sz w:val="24"/>
          <w:szCs w:val="24"/>
          <w:lang w:val="en-US" w:eastAsia="ja-JP"/>
        </w:rPr>
        <w:tab/>
      </w:r>
      <w:r>
        <w:t>Reference Datum</w:t>
      </w:r>
      <w:r>
        <w:tab/>
      </w:r>
      <w:r>
        <w:fldChar w:fldCharType="begin"/>
      </w:r>
      <w:r>
        <w:instrText xml:space="preserve"> PAGEREF _Toc336181799 \h </w:instrText>
      </w:r>
      <w:r>
        <w:fldChar w:fldCharType="separate"/>
      </w:r>
      <w:r>
        <w:t>28</w:t>
      </w:r>
      <w:r>
        <w:fldChar w:fldCharType="end"/>
      </w:r>
    </w:p>
    <w:p w14:paraId="4BB0F5F7" w14:textId="77777777" w:rsidR="004F46AC" w:rsidRDefault="004F46AC">
      <w:pPr>
        <w:pStyle w:val="TOC2"/>
        <w:tabs>
          <w:tab w:val="left" w:pos="574"/>
        </w:tabs>
        <w:rPr>
          <w:rFonts w:eastAsiaTheme="minorEastAsia"/>
          <w:color w:val="auto"/>
          <w:sz w:val="24"/>
          <w:szCs w:val="24"/>
          <w:lang w:val="en-US" w:eastAsia="ja-JP"/>
        </w:rPr>
      </w:pPr>
      <w:r w:rsidRPr="00503450">
        <w:t>3.3.</w:t>
      </w:r>
      <w:r>
        <w:rPr>
          <w:rFonts w:eastAsiaTheme="minorEastAsia"/>
          <w:color w:val="auto"/>
          <w:sz w:val="24"/>
          <w:szCs w:val="24"/>
          <w:lang w:val="en-US" w:eastAsia="ja-JP"/>
        </w:rPr>
        <w:tab/>
      </w:r>
      <w:r>
        <w:t>Monitoring</w:t>
      </w:r>
      <w:r>
        <w:tab/>
      </w:r>
      <w:r>
        <w:fldChar w:fldCharType="begin"/>
      </w:r>
      <w:r>
        <w:instrText xml:space="preserve"> PAGEREF _Toc336181800 \h </w:instrText>
      </w:r>
      <w:r>
        <w:fldChar w:fldCharType="separate"/>
      </w:r>
      <w:r>
        <w:t>28</w:t>
      </w:r>
      <w:r>
        <w:fldChar w:fldCharType="end"/>
      </w:r>
    </w:p>
    <w:p w14:paraId="5ED8DC18" w14:textId="77777777" w:rsidR="004F46AC" w:rsidRDefault="004F46AC">
      <w:pPr>
        <w:pStyle w:val="TOC2"/>
        <w:tabs>
          <w:tab w:val="left" w:pos="574"/>
        </w:tabs>
        <w:rPr>
          <w:rFonts w:eastAsiaTheme="minorEastAsia"/>
          <w:color w:val="auto"/>
          <w:sz w:val="24"/>
          <w:szCs w:val="24"/>
          <w:lang w:val="en-US" w:eastAsia="ja-JP"/>
        </w:rPr>
      </w:pPr>
      <w:r w:rsidRPr="00503450">
        <w:t>3.4.</w:t>
      </w:r>
      <w:r>
        <w:rPr>
          <w:rFonts w:eastAsiaTheme="minorEastAsia"/>
          <w:color w:val="auto"/>
          <w:sz w:val="24"/>
          <w:szCs w:val="24"/>
          <w:lang w:val="en-US" w:eastAsia="ja-JP"/>
        </w:rPr>
        <w:tab/>
      </w:r>
      <w:r>
        <w:t>Publication of information</w:t>
      </w:r>
      <w:r>
        <w:tab/>
      </w:r>
      <w:r>
        <w:fldChar w:fldCharType="begin"/>
      </w:r>
      <w:r>
        <w:instrText xml:space="preserve"> PAGEREF _Toc336181801 \h </w:instrText>
      </w:r>
      <w:r>
        <w:fldChar w:fldCharType="separate"/>
      </w:r>
      <w:r>
        <w:t>28</w:t>
      </w:r>
      <w:r>
        <w:fldChar w:fldCharType="end"/>
      </w:r>
    </w:p>
    <w:p w14:paraId="40807CFB" w14:textId="77777777" w:rsidR="004F46AC" w:rsidRDefault="004F46AC">
      <w:pPr>
        <w:pStyle w:val="TOC2"/>
        <w:tabs>
          <w:tab w:val="left" w:pos="574"/>
        </w:tabs>
        <w:rPr>
          <w:rFonts w:eastAsiaTheme="minorEastAsia"/>
          <w:color w:val="auto"/>
          <w:sz w:val="24"/>
          <w:szCs w:val="24"/>
          <w:lang w:val="en-US" w:eastAsia="ja-JP"/>
        </w:rPr>
      </w:pPr>
      <w:r w:rsidRPr="00503450">
        <w:t>3.5.</w:t>
      </w:r>
      <w:r>
        <w:rPr>
          <w:rFonts w:eastAsiaTheme="minorEastAsia"/>
          <w:color w:val="auto"/>
          <w:sz w:val="24"/>
          <w:szCs w:val="24"/>
          <w:lang w:val="en-US" w:eastAsia="ja-JP"/>
        </w:rPr>
        <w:tab/>
      </w:r>
      <w:r>
        <w:t>Performance Verification</w:t>
      </w:r>
      <w:r>
        <w:tab/>
      </w:r>
      <w:r>
        <w:fldChar w:fldCharType="begin"/>
      </w:r>
      <w:r>
        <w:instrText xml:space="preserve"> PAGEREF _Toc336181802 \h </w:instrText>
      </w:r>
      <w:r>
        <w:fldChar w:fldCharType="separate"/>
      </w:r>
      <w:r>
        <w:t>29</w:t>
      </w:r>
      <w:r>
        <w:fldChar w:fldCharType="end"/>
      </w:r>
    </w:p>
    <w:p w14:paraId="1C47711E"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3.5.1.</w:t>
      </w:r>
      <w:r>
        <w:rPr>
          <w:rFonts w:eastAsiaTheme="minorEastAsia"/>
          <w:noProof/>
          <w:sz w:val="24"/>
          <w:szCs w:val="24"/>
          <w:lang w:val="en-US" w:eastAsia="ja-JP"/>
        </w:rPr>
        <w:tab/>
      </w:r>
      <w:r>
        <w:rPr>
          <w:noProof/>
        </w:rPr>
        <w:t>Generic Requirements for Service Verification</w:t>
      </w:r>
      <w:r>
        <w:rPr>
          <w:noProof/>
        </w:rPr>
        <w:tab/>
      </w:r>
      <w:r>
        <w:rPr>
          <w:noProof/>
        </w:rPr>
        <w:fldChar w:fldCharType="begin"/>
      </w:r>
      <w:r>
        <w:rPr>
          <w:noProof/>
        </w:rPr>
        <w:instrText xml:space="preserve"> PAGEREF _Toc336181803 \h </w:instrText>
      </w:r>
      <w:r>
        <w:rPr>
          <w:noProof/>
        </w:rPr>
      </w:r>
      <w:r>
        <w:rPr>
          <w:noProof/>
        </w:rPr>
        <w:fldChar w:fldCharType="separate"/>
      </w:r>
      <w:r>
        <w:rPr>
          <w:noProof/>
        </w:rPr>
        <w:t>29</w:t>
      </w:r>
      <w:r>
        <w:rPr>
          <w:noProof/>
        </w:rPr>
        <w:fldChar w:fldCharType="end"/>
      </w:r>
    </w:p>
    <w:p w14:paraId="7BCB4DC2"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3.5.2.</w:t>
      </w:r>
      <w:r>
        <w:rPr>
          <w:rFonts w:eastAsiaTheme="minorEastAsia"/>
          <w:noProof/>
          <w:sz w:val="24"/>
          <w:szCs w:val="24"/>
          <w:lang w:val="en-US" w:eastAsia="ja-JP"/>
        </w:rPr>
        <w:tab/>
      </w:r>
      <w:r>
        <w:rPr>
          <w:noProof/>
        </w:rPr>
        <w:t>Accuracy Verification</w:t>
      </w:r>
      <w:r>
        <w:rPr>
          <w:noProof/>
        </w:rPr>
        <w:tab/>
      </w:r>
      <w:r>
        <w:rPr>
          <w:noProof/>
        </w:rPr>
        <w:fldChar w:fldCharType="begin"/>
      </w:r>
      <w:r>
        <w:rPr>
          <w:noProof/>
        </w:rPr>
        <w:instrText xml:space="preserve"> PAGEREF _Toc336181804 \h </w:instrText>
      </w:r>
      <w:r>
        <w:rPr>
          <w:noProof/>
        </w:rPr>
      </w:r>
      <w:r>
        <w:rPr>
          <w:noProof/>
        </w:rPr>
        <w:fldChar w:fldCharType="separate"/>
      </w:r>
      <w:r>
        <w:rPr>
          <w:noProof/>
        </w:rPr>
        <w:t>30</w:t>
      </w:r>
      <w:r>
        <w:rPr>
          <w:noProof/>
        </w:rPr>
        <w:fldChar w:fldCharType="end"/>
      </w:r>
    </w:p>
    <w:p w14:paraId="4172FEB7"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3.5.3.</w:t>
      </w:r>
      <w:r>
        <w:rPr>
          <w:rFonts w:eastAsiaTheme="minorEastAsia"/>
          <w:noProof/>
          <w:sz w:val="24"/>
          <w:szCs w:val="24"/>
          <w:lang w:val="en-US" w:eastAsia="ja-JP"/>
        </w:rPr>
        <w:tab/>
      </w:r>
      <w:r>
        <w:rPr>
          <w:noProof/>
        </w:rPr>
        <w:t>Integrity Verification</w:t>
      </w:r>
      <w:r>
        <w:rPr>
          <w:noProof/>
        </w:rPr>
        <w:tab/>
      </w:r>
      <w:r>
        <w:rPr>
          <w:noProof/>
        </w:rPr>
        <w:fldChar w:fldCharType="begin"/>
      </w:r>
      <w:r>
        <w:rPr>
          <w:noProof/>
        </w:rPr>
        <w:instrText xml:space="preserve"> PAGEREF _Toc336181805 \h </w:instrText>
      </w:r>
      <w:r>
        <w:rPr>
          <w:noProof/>
        </w:rPr>
      </w:r>
      <w:r>
        <w:rPr>
          <w:noProof/>
        </w:rPr>
        <w:fldChar w:fldCharType="separate"/>
      </w:r>
      <w:r>
        <w:rPr>
          <w:noProof/>
        </w:rPr>
        <w:t>30</w:t>
      </w:r>
      <w:r>
        <w:rPr>
          <w:noProof/>
        </w:rPr>
        <w:fldChar w:fldCharType="end"/>
      </w:r>
    </w:p>
    <w:p w14:paraId="73A29A67"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3.5.4.</w:t>
      </w:r>
      <w:r>
        <w:rPr>
          <w:rFonts w:eastAsiaTheme="minorEastAsia"/>
          <w:noProof/>
          <w:sz w:val="24"/>
          <w:szCs w:val="24"/>
          <w:lang w:val="en-US" w:eastAsia="ja-JP"/>
        </w:rPr>
        <w:tab/>
      </w:r>
      <w:r>
        <w:rPr>
          <w:noProof/>
        </w:rPr>
        <w:t>Availability Verification</w:t>
      </w:r>
      <w:r>
        <w:rPr>
          <w:noProof/>
        </w:rPr>
        <w:tab/>
      </w:r>
      <w:r>
        <w:rPr>
          <w:noProof/>
        </w:rPr>
        <w:fldChar w:fldCharType="begin"/>
      </w:r>
      <w:r>
        <w:rPr>
          <w:noProof/>
        </w:rPr>
        <w:instrText xml:space="preserve"> PAGEREF _Toc336181806 \h </w:instrText>
      </w:r>
      <w:r>
        <w:rPr>
          <w:noProof/>
        </w:rPr>
      </w:r>
      <w:r>
        <w:rPr>
          <w:noProof/>
        </w:rPr>
        <w:fldChar w:fldCharType="separate"/>
      </w:r>
      <w:r>
        <w:rPr>
          <w:noProof/>
        </w:rPr>
        <w:t>35</w:t>
      </w:r>
      <w:r>
        <w:rPr>
          <w:noProof/>
        </w:rPr>
        <w:fldChar w:fldCharType="end"/>
      </w:r>
    </w:p>
    <w:p w14:paraId="400A5F26"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3.5.5.</w:t>
      </w:r>
      <w:r>
        <w:rPr>
          <w:rFonts w:eastAsiaTheme="minorEastAsia"/>
          <w:noProof/>
          <w:sz w:val="24"/>
          <w:szCs w:val="24"/>
          <w:lang w:val="en-US" w:eastAsia="ja-JP"/>
        </w:rPr>
        <w:tab/>
      </w:r>
      <w:r>
        <w:rPr>
          <w:noProof/>
        </w:rPr>
        <w:t>Continuity Verification</w:t>
      </w:r>
      <w:r>
        <w:rPr>
          <w:noProof/>
        </w:rPr>
        <w:tab/>
      </w:r>
      <w:r>
        <w:rPr>
          <w:noProof/>
        </w:rPr>
        <w:fldChar w:fldCharType="begin"/>
      </w:r>
      <w:r>
        <w:rPr>
          <w:noProof/>
        </w:rPr>
        <w:instrText xml:space="preserve"> PAGEREF _Toc336181807 \h </w:instrText>
      </w:r>
      <w:r>
        <w:rPr>
          <w:noProof/>
        </w:rPr>
      </w:r>
      <w:r>
        <w:rPr>
          <w:noProof/>
        </w:rPr>
        <w:fldChar w:fldCharType="separate"/>
      </w:r>
      <w:r>
        <w:rPr>
          <w:noProof/>
        </w:rPr>
        <w:t>36</w:t>
      </w:r>
      <w:r>
        <w:rPr>
          <w:noProof/>
        </w:rPr>
        <w:fldChar w:fldCharType="end"/>
      </w:r>
    </w:p>
    <w:p w14:paraId="68F106D9" w14:textId="77777777" w:rsidR="004F46AC" w:rsidRDefault="004F46AC">
      <w:pPr>
        <w:pStyle w:val="TOC1"/>
        <w:tabs>
          <w:tab w:val="left" w:pos="421"/>
        </w:tabs>
        <w:rPr>
          <w:rFonts w:eastAsiaTheme="minorEastAsia"/>
          <w:b w:val="0"/>
          <w:color w:val="auto"/>
          <w:sz w:val="24"/>
          <w:szCs w:val="24"/>
          <w:lang w:val="en-US" w:eastAsia="ja-JP"/>
        </w:rPr>
      </w:pPr>
      <w:r w:rsidRPr="00503450">
        <w:t>4.</w:t>
      </w:r>
      <w:r>
        <w:rPr>
          <w:rFonts w:eastAsiaTheme="minorEastAsia"/>
          <w:b w:val="0"/>
          <w:color w:val="auto"/>
          <w:sz w:val="24"/>
          <w:szCs w:val="24"/>
          <w:lang w:val="en-US" w:eastAsia="ja-JP"/>
        </w:rPr>
        <w:tab/>
      </w:r>
      <w:r>
        <w:t>ACRONYMS</w:t>
      </w:r>
      <w:r>
        <w:tab/>
      </w:r>
      <w:r>
        <w:fldChar w:fldCharType="begin"/>
      </w:r>
      <w:r>
        <w:instrText xml:space="preserve"> PAGEREF _Toc336181808 \h </w:instrText>
      </w:r>
      <w:r>
        <w:fldChar w:fldCharType="separate"/>
      </w:r>
      <w:r>
        <w:t>38</w:t>
      </w:r>
      <w:r>
        <w:fldChar w:fldCharType="end"/>
      </w:r>
    </w:p>
    <w:p w14:paraId="01A0AF11" w14:textId="77777777" w:rsidR="004F46AC" w:rsidRDefault="004F46AC">
      <w:pPr>
        <w:pStyle w:val="TOC1"/>
        <w:tabs>
          <w:tab w:val="left" w:pos="421"/>
        </w:tabs>
        <w:rPr>
          <w:rFonts w:eastAsiaTheme="minorEastAsia"/>
          <w:b w:val="0"/>
          <w:color w:val="auto"/>
          <w:sz w:val="24"/>
          <w:szCs w:val="24"/>
          <w:lang w:val="en-US" w:eastAsia="ja-JP"/>
        </w:rPr>
      </w:pPr>
      <w:r w:rsidRPr="00503450">
        <w:t>5.</w:t>
      </w:r>
      <w:r>
        <w:rPr>
          <w:rFonts w:eastAsiaTheme="minorEastAsia"/>
          <w:b w:val="0"/>
          <w:color w:val="auto"/>
          <w:sz w:val="24"/>
          <w:szCs w:val="24"/>
          <w:lang w:val="en-US" w:eastAsia="ja-JP"/>
        </w:rPr>
        <w:tab/>
      </w:r>
      <w:r w:rsidRPr="00503450">
        <w:t>REFERENCES</w:t>
      </w:r>
      <w:r>
        <w:tab/>
      </w:r>
      <w:r>
        <w:fldChar w:fldCharType="begin"/>
      </w:r>
      <w:r>
        <w:instrText xml:space="preserve"> PAGEREF _Toc336181809 \h </w:instrText>
      </w:r>
      <w:r>
        <w:fldChar w:fldCharType="separate"/>
      </w:r>
      <w:r>
        <w:t>39</w:t>
      </w:r>
      <w:r>
        <w:fldChar w:fldCharType="end"/>
      </w:r>
    </w:p>
    <w:p w14:paraId="0C68D8CD" w14:textId="77777777" w:rsidR="004F46AC" w:rsidRDefault="004F46AC">
      <w:pPr>
        <w:pStyle w:val="TOC4"/>
        <w:tabs>
          <w:tab w:val="left" w:pos="1490"/>
        </w:tabs>
        <w:rPr>
          <w:rFonts w:eastAsiaTheme="minorEastAsia"/>
          <w:b w:val="0"/>
          <w:noProof/>
          <w:color w:val="auto"/>
          <w:sz w:val="24"/>
          <w:szCs w:val="24"/>
          <w:lang w:val="en-US" w:eastAsia="ja-JP"/>
        </w:rPr>
      </w:pPr>
      <w:r w:rsidRPr="00503450">
        <w:rPr>
          <w:noProof/>
          <w:u w:color="407EC9"/>
        </w:rPr>
        <w:lastRenderedPageBreak/>
        <w:t>APPENDIX A</w:t>
      </w:r>
      <w:r>
        <w:rPr>
          <w:rFonts w:eastAsiaTheme="minorEastAsia"/>
          <w:b w:val="0"/>
          <w:noProof/>
          <w:color w:val="auto"/>
          <w:sz w:val="24"/>
          <w:szCs w:val="24"/>
          <w:lang w:val="en-US" w:eastAsia="ja-JP"/>
        </w:rPr>
        <w:tab/>
      </w:r>
      <w:r>
        <w:rPr>
          <w:noProof/>
        </w:rPr>
        <w:t>Performance Verification Using Short Term Measurement Data</w:t>
      </w:r>
      <w:r>
        <w:rPr>
          <w:noProof/>
        </w:rPr>
        <w:tab/>
      </w:r>
      <w:r>
        <w:rPr>
          <w:noProof/>
        </w:rPr>
        <w:fldChar w:fldCharType="begin"/>
      </w:r>
      <w:r>
        <w:rPr>
          <w:noProof/>
        </w:rPr>
        <w:instrText xml:space="preserve"> PAGEREF _Toc336181810 \h </w:instrText>
      </w:r>
      <w:r>
        <w:rPr>
          <w:noProof/>
        </w:rPr>
      </w:r>
      <w:r>
        <w:rPr>
          <w:noProof/>
        </w:rPr>
        <w:fldChar w:fldCharType="separate"/>
      </w:r>
      <w:r>
        <w:rPr>
          <w:noProof/>
        </w:rPr>
        <w:t>41</w:t>
      </w:r>
      <w:r>
        <w:rPr>
          <w:noProof/>
        </w:rPr>
        <w:fldChar w:fldCharType="end"/>
      </w:r>
    </w:p>
    <w:p w14:paraId="2D51D7BD" w14:textId="77777777" w:rsidR="004F46AC" w:rsidRDefault="004F46AC">
      <w:pPr>
        <w:pStyle w:val="TOC4"/>
        <w:tabs>
          <w:tab w:val="left" w:pos="602"/>
        </w:tabs>
        <w:rPr>
          <w:rFonts w:eastAsiaTheme="minorEastAsia"/>
          <w:b w:val="0"/>
          <w:noProof/>
          <w:color w:val="auto"/>
          <w:sz w:val="24"/>
          <w:szCs w:val="24"/>
          <w:lang w:val="en-US" w:eastAsia="ja-JP"/>
        </w:rPr>
      </w:pPr>
      <w:r w:rsidRPr="00503450">
        <w:rPr>
          <w:rFonts w:asciiTheme="majorHAnsi" w:hAnsiTheme="majorHAnsi"/>
          <w:noProof/>
        </w:rPr>
        <w:t>A.1.</w:t>
      </w:r>
      <w:r>
        <w:rPr>
          <w:rFonts w:eastAsiaTheme="minorEastAsia"/>
          <w:b w:val="0"/>
          <w:noProof/>
          <w:color w:val="auto"/>
          <w:sz w:val="24"/>
          <w:szCs w:val="24"/>
          <w:lang w:val="en-US" w:eastAsia="ja-JP"/>
        </w:rPr>
        <w:tab/>
      </w:r>
      <w:r w:rsidRPr="00503450">
        <w:rPr>
          <w:rFonts w:asciiTheme="majorHAnsi" w:hAnsiTheme="majorHAnsi"/>
          <w:noProof/>
        </w:rPr>
        <w:t>Hypothesis Testing and Confidence Levels</w:t>
      </w:r>
      <w:r>
        <w:rPr>
          <w:noProof/>
        </w:rPr>
        <w:tab/>
      </w:r>
      <w:r>
        <w:rPr>
          <w:noProof/>
        </w:rPr>
        <w:fldChar w:fldCharType="begin"/>
      </w:r>
      <w:r>
        <w:rPr>
          <w:noProof/>
        </w:rPr>
        <w:instrText xml:space="preserve"> PAGEREF _Toc336181811 \h </w:instrText>
      </w:r>
      <w:r>
        <w:rPr>
          <w:noProof/>
        </w:rPr>
      </w:r>
      <w:r>
        <w:rPr>
          <w:noProof/>
        </w:rPr>
        <w:fldChar w:fldCharType="separate"/>
      </w:r>
      <w:r>
        <w:rPr>
          <w:noProof/>
        </w:rPr>
        <w:t>41</w:t>
      </w:r>
      <w:r>
        <w:rPr>
          <w:noProof/>
        </w:rPr>
        <w:fldChar w:fldCharType="end"/>
      </w:r>
    </w:p>
    <w:p w14:paraId="37CE3388" w14:textId="77777777" w:rsidR="004F46AC" w:rsidRDefault="004F46AC">
      <w:pPr>
        <w:pStyle w:val="TOC4"/>
        <w:tabs>
          <w:tab w:val="left" w:pos="602"/>
        </w:tabs>
        <w:rPr>
          <w:rFonts w:eastAsiaTheme="minorEastAsia"/>
          <w:b w:val="0"/>
          <w:noProof/>
          <w:color w:val="auto"/>
          <w:sz w:val="24"/>
          <w:szCs w:val="24"/>
          <w:lang w:val="en-US" w:eastAsia="ja-JP"/>
        </w:rPr>
      </w:pPr>
      <w:r w:rsidRPr="00503450">
        <w:rPr>
          <w:rFonts w:asciiTheme="majorHAnsi" w:hAnsiTheme="majorHAnsi"/>
          <w:noProof/>
        </w:rPr>
        <w:t>A.2.</w:t>
      </w:r>
      <w:r>
        <w:rPr>
          <w:rFonts w:eastAsiaTheme="minorEastAsia"/>
          <w:b w:val="0"/>
          <w:noProof/>
          <w:color w:val="auto"/>
          <w:sz w:val="24"/>
          <w:szCs w:val="24"/>
          <w:lang w:val="en-US" w:eastAsia="ja-JP"/>
        </w:rPr>
        <w:tab/>
      </w:r>
      <w:r w:rsidRPr="00503450">
        <w:rPr>
          <w:rFonts w:asciiTheme="majorHAnsi" w:hAnsiTheme="majorHAnsi"/>
          <w:noProof/>
        </w:rPr>
        <w:t>Accuracy Verification</w:t>
      </w:r>
      <w:r>
        <w:rPr>
          <w:noProof/>
        </w:rPr>
        <w:tab/>
      </w:r>
      <w:r>
        <w:rPr>
          <w:noProof/>
        </w:rPr>
        <w:fldChar w:fldCharType="begin"/>
      </w:r>
      <w:r>
        <w:rPr>
          <w:noProof/>
        </w:rPr>
        <w:instrText xml:space="preserve"> PAGEREF _Toc336181812 \h </w:instrText>
      </w:r>
      <w:r>
        <w:rPr>
          <w:noProof/>
        </w:rPr>
      </w:r>
      <w:r>
        <w:rPr>
          <w:noProof/>
        </w:rPr>
        <w:fldChar w:fldCharType="separate"/>
      </w:r>
      <w:r>
        <w:rPr>
          <w:noProof/>
        </w:rPr>
        <w:t>42</w:t>
      </w:r>
      <w:r>
        <w:rPr>
          <w:noProof/>
        </w:rPr>
        <w:fldChar w:fldCharType="end"/>
      </w:r>
    </w:p>
    <w:p w14:paraId="7C9BBDA2" w14:textId="77777777" w:rsidR="004F46AC" w:rsidRDefault="004F46AC">
      <w:pPr>
        <w:pStyle w:val="TOC4"/>
        <w:tabs>
          <w:tab w:val="left" w:pos="602"/>
        </w:tabs>
        <w:rPr>
          <w:rFonts w:eastAsiaTheme="minorEastAsia"/>
          <w:b w:val="0"/>
          <w:noProof/>
          <w:color w:val="auto"/>
          <w:sz w:val="24"/>
          <w:szCs w:val="24"/>
          <w:lang w:val="en-US" w:eastAsia="ja-JP"/>
        </w:rPr>
      </w:pPr>
      <w:r w:rsidRPr="00503450">
        <w:rPr>
          <w:rFonts w:asciiTheme="majorHAnsi" w:hAnsiTheme="majorHAnsi"/>
          <w:noProof/>
        </w:rPr>
        <w:t>A.3.</w:t>
      </w:r>
      <w:r>
        <w:rPr>
          <w:rFonts w:eastAsiaTheme="minorEastAsia"/>
          <w:b w:val="0"/>
          <w:noProof/>
          <w:color w:val="auto"/>
          <w:sz w:val="24"/>
          <w:szCs w:val="24"/>
          <w:lang w:val="en-US" w:eastAsia="ja-JP"/>
        </w:rPr>
        <w:tab/>
      </w:r>
      <w:r w:rsidRPr="00503450">
        <w:rPr>
          <w:rFonts w:asciiTheme="majorHAnsi" w:hAnsiTheme="majorHAnsi"/>
          <w:noProof/>
        </w:rPr>
        <w:t>Availability Verification</w:t>
      </w:r>
      <w:r>
        <w:rPr>
          <w:noProof/>
        </w:rPr>
        <w:tab/>
      </w:r>
      <w:r>
        <w:rPr>
          <w:noProof/>
        </w:rPr>
        <w:fldChar w:fldCharType="begin"/>
      </w:r>
      <w:r>
        <w:rPr>
          <w:noProof/>
        </w:rPr>
        <w:instrText xml:space="preserve"> PAGEREF _Toc336181813 \h </w:instrText>
      </w:r>
      <w:r>
        <w:rPr>
          <w:noProof/>
        </w:rPr>
      </w:r>
      <w:r>
        <w:rPr>
          <w:noProof/>
        </w:rPr>
        <w:fldChar w:fldCharType="separate"/>
      </w:r>
      <w:r>
        <w:rPr>
          <w:noProof/>
        </w:rPr>
        <w:t>43</w:t>
      </w:r>
      <w:r>
        <w:rPr>
          <w:noProof/>
        </w:rPr>
        <w:fldChar w:fldCharType="end"/>
      </w:r>
    </w:p>
    <w:p w14:paraId="7DC6F479" w14:textId="77777777" w:rsidR="004F46AC" w:rsidRDefault="004F46AC">
      <w:pPr>
        <w:pStyle w:val="TOC4"/>
        <w:tabs>
          <w:tab w:val="left" w:pos="602"/>
        </w:tabs>
        <w:rPr>
          <w:rFonts w:eastAsiaTheme="minorEastAsia"/>
          <w:b w:val="0"/>
          <w:noProof/>
          <w:color w:val="auto"/>
          <w:sz w:val="24"/>
          <w:szCs w:val="24"/>
          <w:lang w:val="en-US" w:eastAsia="ja-JP"/>
        </w:rPr>
      </w:pPr>
      <w:r w:rsidRPr="00503450">
        <w:rPr>
          <w:rFonts w:asciiTheme="majorHAnsi" w:hAnsiTheme="majorHAnsi"/>
          <w:noProof/>
        </w:rPr>
        <w:t>A.4.</w:t>
      </w:r>
      <w:r>
        <w:rPr>
          <w:rFonts w:eastAsiaTheme="minorEastAsia"/>
          <w:b w:val="0"/>
          <w:noProof/>
          <w:color w:val="auto"/>
          <w:sz w:val="24"/>
          <w:szCs w:val="24"/>
          <w:lang w:val="en-US" w:eastAsia="ja-JP"/>
        </w:rPr>
        <w:tab/>
      </w:r>
      <w:r w:rsidRPr="00503450">
        <w:rPr>
          <w:rFonts w:asciiTheme="majorHAnsi" w:hAnsiTheme="majorHAnsi"/>
          <w:noProof/>
        </w:rPr>
        <w:t>Integrity Verification</w:t>
      </w:r>
      <w:r>
        <w:rPr>
          <w:noProof/>
        </w:rPr>
        <w:tab/>
      </w:r>
      <w:r>
        <w:rPr>
          <w:noProof/>
        </w:rPr>
        <w:fldChar w:fldCharType="begin"/>
      </w:r>
      <w:r>
        <w:rPr>
          <w:noProof/>
        </w:rPr>
        <w:instrText xml:space="preserve"> PAGEREF _Toc336181814 \h </w:instrText>
      </w:r>
      <w:r>
        <w:rPr>
          <w:noProof/>
        </w:rPr>
      </w:r>
      <w:r>
        <w:rPr>
          <w:noProof/>
        </w:rPr>
        <w:fldChar w:fldCharType="separate"/>
      </w:r>
      <w:r>
        <w:rPr>
          <w:noProof/>
        </w:rPr>
        <w:t>44</w:t>
      </w:r>
      <w:r>
        <w:rPr>
          <w:noProof/>
        </w:rPr>
        <w:fldChar w:fldCharType="end"/>
      </w:r>
    </w:p>
    <w:p w14:paraId="549DB347" w14:textId="77777777" w:rsidR="004F46AC" w:rsidRDefault="004F46AC">
      <w:pPr>
        <w:pStyle w:val="TOC4"/>
        <w:tabs>
          <w:tab w:val="left" w:pos="602"/>
        </w:tabs>
        <w:rPr>
          <w:rFonts w:eastAsiaTheme="minorEastAsia"/>
          <w:b w:val="0"/>
          <w:noProof/>
          <w:color w:val="auto"/>
          <w:sz w:val="24"/>
          <w:szCs w:val="24"/>
          <w:lang w:val="en-US" w:eastAsia="ja-JP"/>
        </w:rPr>
      </w:pPr>
      <w:r w:rsidRPr="00503450">
        <w:rPr>
          <w:rFonts w:asciiTheme="majorHAnsi" w:hAnsiTheme="majorHAnsi"/>
          <w:noProof/>
        </w:rPr>
        <w:t>A.5.</w:t>
      </w:r>
      <w:r>
        <w:rPr>
          <w:rFonts w:eastAsiaTheme="minorEastAsia"/>
          <w:b w:val="0"/>
          <w:noProof/>
          <w:color w:val="auto"/>
          <w:sz w:val="24"/>
          <w:szCs w:val="24"/>
          <w:lang w:val="en-US" w:eastAsia="ja-JP"/>
        </w:rPr>
        <w:tab/>
      </w:r>
      <w:r w:rsidRPr="00503450">
        <w:rPr>
          <w:rFonts w:asciiTheme="majorHAnsi" w:hAnsiTheme="majorHAnsi"/>
          <w:noProof/>
        </w:rPr>
        <w:t>Continuity Verification</w:t>
      </w:r>
      <w:r>
        <w:rPr>
          <w:noProof/>
        </w:rPr>
        <w:tab/>
      </w:r>
      <w:r>
        <w:rPr>
          <w:noProof/>
        </w:rPr>
        <w:fldChar w:fldCharType="begin"/>
      </w:r>
      <w:r>
        <w:rPr>
          <w:noProof/>
        </w:rPr>
        <w:instrText xml:space="preserve"> PAGEREF _Toc336181815 \h </w:instrText>
      </w:r>
      <w:r>
        <w:rPr>
          <w:noProof/>
        </w:rPr>
      </w:r>
      <w:r>
        <w:rPr>
          <w:noProof/>
        </w:rPr>
        <w:fldChar w:fldCharType="separate"/>
      </w:r>
      <w:r>
        <w:rPr>
          <w:noProof/>
        </w:rPr>
        <w:t>45</w:t>
      </w:r>
      <w:r>
        <w:rPr>
          <w:noProof/>
        </w:rPr>
        <w:fldChar w:fldCharType="end"/>
      </w:r>
    </w:p>
    <w:p w14:paraId="40F3853B" w14:textId="77777777" w:rsidR="004F46AC" w:rsidRDefault="004F46AC">
      <w:pPr>
        <w:pStyle w:val="TOC3"/>
        <w:tabs>
          <w:tab w:val="right" w:leader="dot" w:pos="10195"/>
        </w:tabs>
        <w:rPr>
          <w:rFonts w:eastAsiaTheme="minorEastAsia"/>
          <w:noProof/>
          <w:sz w:val="24"/>
          <w:szCs w:val="24"/>
          <w:lang w:val="en-US" w:eastAsia="ja-JP"/>
        </w:rPr>
      </w:pPr>
      <w:r>
        <w:rPr>
          <w:noProof/>
        </w:rPr>
        <w:t>A.5.1 Compatibility with Integrity Requirement</w:t>
      </w:r>
      <w:r>
        <w:rPr>
          <w:noProof/>
        </w:rPr>
        <w:tab/>
      </w:r>
      <w:r>
        <w:rPr>
          <w:noProof/>
        </w:rPr>
        <w:fldChar w:fldCharType="begin"/>
      </w:r>
      <w:r>
        <w:rPr>
          <w:noProof/>
        </w:rPr>
        <w:instrText xml:space="preserve"> PAGEREF _Toc336181816 \h </w:instrText>
      </w:r>
      <w:r>
        <w:rPr>
          <w:noProof/>
        </w:rPr>
      </w:r>
      <w:r>
        <w:rPr>
          <w:noProof/>
        </w:rPr>
        <w:fldChar w:fldCharType="separate"/>
      </w:r>
      <w:r>
        <w:rPr>
          <w:noProof/>
        </w:rPr>
        <w:t>46</w:t>
      </w:r>
      <w:r>
        <w:rPr>
          <w:noProof/>
        </w:rPr>
        <w:fldChar w:fldCharType="end"/>
      </w:r>
    </w:p>
    <w:p w14:paraId="594B0B7D" w14:textId="77777777" w:rsidR="004F46AC" w:rsidRDefault="004F46AC">
      <w:pPr>
        <w:pStyle w:val="TOC4"/>
        <w:tabs>
          <w:tab w:val="left" w:pos="602"/>
        </w:tabs>
        <w:rPr>
          <w:rFonts w:eastAsiaTheme="minorEastAsia"/>
          <w:b w:val="0"/>
          <w:noProof/>
          <w:color w:val="auto"/>
          <w:sz w:val="24"/>
          <w:szCs w:val="24"/>
          <w:lang w:val="en-US" w:eastAsia="ja-JP"/>
        </w:rPr>
      </w:pPr>
      <w:r w:rsidRPr="00503450">
        <w:rPr>
          <w:rFonts w:asciiTheme="majorHAnsi" w:hAnsiTheme="majorHAnsi"/>
          <w:noProof/>
        </w:rPr>
        <w:t>A.6.</w:t>
      </w:r>
      <w:r>
        <w:rPr>
          <w:rFonts w:eastAsiaTheme="minorEastAsia"/>
          <w:b w:val="0"/>
          <w:noProof/>
          <w:color w:val="auto"/>
          <w:sz w:val="24"/>
          <w:szCs w:val="24"/>
          <w:lang w:val="en-US" w:eastAsia="ja-JP"/>
        </w:rPr>
        <w:tab/>
      </w:r>
      <w:r w:rsidRPr="00503450">
        <w:rPr>
          <w:rFonts w:asciiTheme="majorHAnsi" w:hAnsiTheme="majorHAnsi"/>
          <w:noProof/>
        </w:rPr>
        <w:t>Conclusions</w:t>
      </w:r>
      <w:r>
        <w:rPr>
          <w:noProof/>
        </w:rPr>
        <w:tab/>
      </w:r>
      <w:r>
        <w:rPr>
          <w:noProof/>
        </w:rPr>
        <w:fldChar w:fldCharType="begin"/>
      </w:r>
      <w:r>
        <w:rPr>
          <w:noProof/>
        </w:rPr>
        <w:instrText xml:space="preserve"> PAGEREF _Toc336181817 \h </w:instrText>
      </w:r>
      <w:r>
        <w:rPr>
          <w:noProof/>
        </w:rPr>
      </w:r>
      <w:r>
        <w:rPr>
          <w:noProof/>
        </w:rPr>
        <w:fldChar w:fldCharType="separate"/>
      </w:r>
      <w:r>
        <w:rPr>
          <w:noProof/>
        </w:rPr>
        <w:t>47</w:t>
      </w:r>
      <w:r>
        <w:rPr>
          <w:noProof/>
        </w:rPr>
        <w:fldChar w:fldCharType="end"/>
      </w:r>
    </w:p>
    <w:p w14:paraId="2F049932" w14:textId="77777777" w:rsidR="004F46AC" w:rsidRDefault="004F46AC">
      <w:pPr>
        <w:pStyle w:val="TOC4"/>
        <w:tabs>
          <w:tab w:val="left" w:pos="773"/>
        </w:tabs>
        <w:rPr>
          <w:rFonts w:eastAsiaTheme="minorEastAsia"/>
          <w:b w:val="0"/>
          <w:noProof/>
          <w:color w:val="auto"/>
          <w:sz w:val="24"/>
          <w:szCs w:val="24"/>
          <w:lang w:val="en-US" w:eastAsia="ja-JP"/>
        </w:rPr>
      </w:pPr>
      <w:r w:rsidRPr="00503450">
        <w:rPr>
          <w:rFonts w:asciiTheme="majorHAnsi" w:hAnsiTheme="majorHAnsi"/>
          <w:noProof/>
        </w:rPr>
        <w:t>A.6.1.</w:t>
      </w:r>
      <w:r>
        <w:rPr>
          <w:rFonts w:eastAsiaTheme="minorEastAsia"/>
          <w:b w:val="0"/>
          <w:noProof/>
          <w:color w:val="auto"/>
          <w:sz w:val="24"/>
          <w:szCs w:val="24"/>
          <w:lang w:val="en-US" w:eastAsia="ja-JP"/>
        </w:rPr>
        <w:tab/>
      </w:r>
      <w:r w:rsidRPr="00503450">
        <w:rPr>
          <w:rFonts w:asciiTheme="majorHAnsi" w:hAnsiTheme="majorHAnsi"/>
          <w:noProof/>
        </w:rPr>
        <w:t>Accuracy</w:t>
      </w:r>
      <w:r>
        <w:rPr>
          <w:noProof/>
        </w:rPr>
        <w:tab/>
      </w:r>
      <w:r>
        <w:rPr>
          <w:noProof/>
        </w:rPr>
        <w:fldChar w:fldCharType="begin"/>
      </w:r>
      <w:r>
        <w:rPr>
          <w:noProof/>
        </w:rPr>
        <w:instrText xml:space="preserve"> PAGEREF _Toc336181818 \h </w:instrText>
      </w:r>
      <w:r>
        <w:rPr>
          <w:noProof/>
        </w:rPr>
      </w:r>
      <w:r>
        <w:rPr>
          <w:noProof/>
        </w:rPr>
        <w:fldChar w:fldCharType="separate"/>
      </w:r>
      <w:r>
        <w:rPr>
          <w:noProof/>
        </w:rPr>
        <w:t>47</w:t>
      </w:r>
      <w:r>
        <w:rPr>
          <w:noProof/>
        </w:rPr>
        <w:fldChar w:fldCharType="end"/>
      </w:r>
    </w:p>
    <w:p w14:paraId="5E75E463" w14:textId="77777777" w:rsidR="004F46AC" w:rsidRDefault="004F46AC">
      <w:pPr>
        <w:pStyle w:val="TOC4"/>
        <w:tabs>
          <w:tab w:val="left" w:pos="773"/>
        </w:tabs>
        <w:rPr>
          <w:rFonts w:eastAsiaTheme="minorEastAsia"/>
          <w:b w:val="0"/>
          <w:noProof/>
          <w:color w:val="auto"/>
          <w:sz w:val="24"/>
          <w:szCs w:val="24"/>
          <w:lang w:val="en-US" w:eastAsia="ja-JP"/>
        </w:rPr>
      </w:pPr>
      <w:r w:rsidRPr="00503450">
        <w:rPr>
          <w:rFonts w:asciiTheme="majorHAnsi" w:hAnsiTheme="majorHAnsi"/>
          <w:noProof/>
        </w:rPr>
        <w:t>A.6.2.</w:t>
      </w:r>
      <w:r>
        <w:rPr>
          <w:rFonts w:eastAsiaTheme="minorEastAsia"/>
          <w:b w:val="0"/>
          <w:noProof/>
          <w:color w:val="auto"/>
          <w:sz w:val="24"/>
          <w:szCs w:val="24"/>
          <w:lang w:val="en-US" w:eastAsia="ja-JP"/>
        </w:rPr>
        <w:tab/>
      </w:r>
      <w:r w:rsidRPr="00503450">
        <w:rPr>
          <w:rFonts w:asciiTheme="majorHAnsi" w:hAnsiTheme="majorHAnsi"/>
          <w:noProof/>
        </w:rPr>
        <w:t>Availability</w:t>
      </w:r>
      <w:r>
        <w:rPr>
          <w:noProof/>
        </w:rPr>
        <w:tab/>
      </w:r>
      <w:r>
        <w:rPr>
          <w:noProof/>
        </w:rPr>
        <w:fldChar w:fldCharType="begin"/>
      </w:r>
      <w:r>
        <w:rPr>
          <w:noProof/>
        </w:rPr>
        <w:instrText xml:space="preserve"> PAGEREF _Toc336181819 \h </w:instrText>
      </w:r>
      <w:r>
        <w:rPr>
          <w:noProof/>
        </w:rPr>
      </w:r>
      <w:r>
        <w:rPr>
          <w:noProof/>
        </w:rPr>
        <w:fldChar w:fldCharType="separate"/>
      </w:r>
      <w:r>
        <w:rPr>
          <w:noProof/>
        </w:rPr>
        <w:t>47</w:t>
      </w:r>
      <w:r>
        <w:rPr>
          <w:noProof/>
        </w:rPr>
        <w:fldChar w:fldCharType="end"/>
      </w:r>
    </w:p>
    <w:p w14:paraId="6BC77FE8" w14:textId="77777777" w:rsidR="004F46AC" w:rsidRDefault="004F46AC">
      <w:pPr>
        <w:pStyle w:val="TOC4"/>
        <w:tabs>
          <w:tab w:val="left" w:pos="773"/>
        </w:tabs>
        <w:rPr>
          <w:rFonts w:eastAsiaTheme="minorEastAsia"/>
          <w:b w:val="0"/>
          <w:noProof/>
          <w:color w:val="auto"/>
          <w:sz w:val="24"/>
          <w:szCs w:val="24"/>
          <w:lang w:val="en-US" w:eastAsia="ja-JP"/>
        </w:rPr>
      </w:pPr>
      <w:r w:rsidRPr="00503450">
        <w:rPr>
          <w:rFonts w:asciiTheme="majorHAnsi" w:hAnsiTheme="majorHAnsi"/>
          <w:noProof/>
        </w:rPr>
        <w:t>A.6.3.</w:t>
      </w:r>
      <w:r>
        <w:rPr>
          <w:rFonts w:eastAsiaTheme="minorEastAsia"/>
          <w:b w:val="0"/>
          <w:noProof/>
          <w:color w:val="auto"/>
          <w:sz w:val="24"/>
          <w:szCs w:val="24"/>
          <w:lang w:val="en-US" w:eastAsia="ja-JP"/>
        </w:rPr>
        <w:tab/>
      </w:r>
      <w:r w:rsidRPr="00503450">
        <w:rPr>
          <w:rFonts w:asciiTheme="majorHAnsi" w:hAnsiTheme="majorHAnsi"/>
          <w:noProof/>
        </w:rPr>
        <w:t>Integrity</w:t>
      </w:r>
      <w:r>
        <w:rPr>
          <w:noProof/>
        </w:rPr>
        <w:tab/>
      </w:r>
      <w:r>
        <w:rPr>
          <w:noProof/>
        </w:rPr>
        <w:fldChar w:fldCharType="begin"/>
      </w:r>
      <w:r>
        <w:rPr>
          <w:noProof/>
        </w:rPr>
        <w:instrText xml:space="preserve"> PAGEREF _Toc336181820 \h </w:instrText>
      </w:r>
      <w:r>
        <w:rPr>
          <w:noProof/>
        </w:rPr>
      </w:r>
      <w:r>
        <w:rPr>
          <w:noProof/>
        </w:rPr>
        <w:fldChar w:fldCharType="separate"/>
      </w:r>
      <w:r>
        <w:rPr>
          <w:noProof/>
        </w:rPr>
        <w:t>47</w:t>
      </w:r>
      <w:r>
        <w:rPr>
          <w:noProof/>
        </w:rPr>
        <w:fldChar w:fldCharType="end"/>
      </w:r>
    </w:p>
    <w:p w14:paraId="5F82CE3B" w14:textId="77777777" w:rsidR="004F46AC" w:rsidRDefault="004F46AC">
      <w:pPr>
        <w:pStyle w:val="TOC4"/>
        <w:tabs>
          <w:tab w:val="left" w:pos="773"/>
        </w:tabs>
        <w:rPr>
          <w:rFonts w:eastAsiaTheme="minorEastAsia"/>
          <w:b w:val="0"/>
          <w:noProof/>
          <w:color w:val="auto"/>
          <w:sz w:val="24"/>
          <w:szCs w:val="24"/>
          <w:lang w:val="en-US" w:eastAsia="ja-JP"/>
        </w:rPr>
      </w:pPr>
      <w:r w:rsidRPr="00503450">
        <w:rPr>
          <w:rFonts w:asciiTheme="majorHAnsi" w:hAnsiTheme="majorHAnsi"/>
          <w:noProof/>
        </w:rPr>
        <w:t>A.6.4.</w:t>
      </w:r>
      <w:r>
        <w:rPr>
          <w:rFonts w:eastAsiaTheme="minorEastAsia"/>
          <w:b w:val="0"/>
          <w:noProof/>
          <w:color w:val="auto"/>
          <w:sz w:val="24"/>
          <w:szCs w:val="24"/>
          <w:lang w:val="en-US" w:eastAsia="ja-JP"/>
        </w:rPr>
        <w:tab/>
      </w:r>
      <w:r w:rsidRPr="00503450">
        <w:rPr>
          <w:rFonts w:asciiTheme="majorHAnsi" w:hAnsiTheme="majorHAnsi"/>
          <w:noProof/>
        </w:rPr>
        <w:t>Continuity</w:t>
      </w:r>
      <w:r>
        <w:rPr>
          <w:noProof/>
        </w:rPr>
        <w:tab/>
      </w:r>
      <w:r>
        <w:rPr>
          <w:noProof/>
        </w:rPr>
        <w:fldChar w:fldCharType="begin"/>
      </w:r>
      <w:r>
        <w:rPr>
          <w:noProof/>
        </w:rPr>
        <w:instrText xml:space="preserve"> PAGEREF _Toc336181821 \h </w:instrText>
      </w:r>
      <w:r>
        <w:rPr>
          <w:noProof/>
        </w:rPr>
      </w:r>
      <w:r>
        <w:rPr>
          <w:noProof/>
        </w:rPr>
        <w:fldChar w:fldCharType="separate"/>
      </w:r>
      <w:r>
        <w:rPr>
          <w:noProof/>
        </w:rPr>
        <w:t>48</w:t>
      </w:r>
      <w:r>
        <w:rPr>
          <w:noProof/>
        </w:rPr>
        <w:fldChar w:fldCharType="end"/>
      </w:r>
    </w:p>
    <w:p w14:paraId="382E9D74" w14:textId="77777777" w:rsidR="004F46AC" w:rsidRDefault="004F46AC">
      <w:pPr>
        <w:pStyle w:val="TOC4"/>
        <w:tabs>
          <w:tab w:val="left" w:pos="773"/>
        </w:tabs>
        <w:rPr>
          <w:rFonts w:eastAsiaTheme="minorEastAsia"/>
          <w:b w:val="0"/>
          <w:noProof/>
          <w:color w:val="auto"/>
          <w:sz w:val="24"/>
          <w:szCs w:val="24"/>
          <w:lang w:val="en-US" w:eastAsia="ja-JP"/>
        </w:rPr>
      </w:pPr>
      <w:r w:rsidRPr="00503450">
        <w:rPr>
          <w:rFonts w:asciiTheme="majorHAnsi" w:hAnsiTheme="majorHAnsi"/>
          <w:noProof/>
        </w:rPr>
        <w:t>A.6.5.</w:t>
      </w:r>
      <w:r>
        <w:rPr>
          <w:rFonts w:eastAsiaTheme="minorEastAsia"/>
          <w:b w:val="0"/>
          <w:noProof/>
          <w:color w:val="auto"/>
          <w:sz w:val="24"/>
          <w:szCs w:val="24"/>
          <w:lang w:val="en-US" w:eastAsia="ja-JP"/>
        </w:rPr>
        <w:tab/>
      </w:r>
      <w:r w:rsidRPr="00503450">
        <w:rPr>
          <w:rFonts w:asciiTheme="majorHAnsi" w:hAnsiTheme="majorHAnsi"/>
          <w:noProof/>
        </w:rPr>
        <w:t>Results</w:t>
      </w:r>
      <w:r>
        <w:rPr>
          <w:noProof/>
        </w:rPr>
        <w:tab/>
      </w:r>
      <w:r>
        <w:rPr>
          <w:noProof/>
        </w:rPr>
        <w:fldChar w:fldCharType="begin"/>
      </w:r>
      <w:r>
        <w:rPr>
          <w:noProof/>
        </w:rPr>
        <w:instrText xml:space="preserve"> PAGEREF _Toc336181822 \h </w:instrText>
      </w:r>
      <w:r>
        <w:rPr>
          <w:noProof/>
        </w:rPr>
      </w:r>
      <w:r>
        <w:rPr>
          <w:noProof/>
        </w:rPr>
        <w:fldChar w:fldCharType="separate"/>
      </w:r>
      <w:r>
        <w:rPr>
          <w:noProof/>
        </w:rPr>
        <w:t>48</w:t>
      </w:r>
      <w:r>
        <w:rPr>
          <w:noProof/>
        </w:rPr>
        <w:fldChar w:fldCharType="end"/>
      </w:r>
    </w:p>
    <w:p w14:paraId="6EAB6893"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40D7D320" w14:textId="77777777" w:rsidR="0078486B" w:rsidRDefault="002F265A" w:rsidP="00C9558A">
      <w:pPr>
        <w:pStyle w:val="ListofFigures"/>
      </w:pPr>
      <w:r>
        <w:t>List of Tables</w:t>
      </w:r>
    </w:p>
    <w:p w14:paraId="7CCC25F0" w14:textId="77777777" w:rsidR="00BF2619" w:rsidRDefault="00923B4D">
      <w:pPr>
        <w:pStyle w:val="TableofFigures"/>
        <w:tabs>
          <w:tab w:val="left" w:pos="920"/>
        </w:tabs>
        <w:rPr>
          <w:rFonts w:eastAsiaTheme="minorEastAsia"/>
          <w:i w:val="0"/>
          <w:noProof/>
          <w:sz w:val="24"/>
          <w:szCs w:val="24"/>
          <w:lang w:val="en-US" w:eastAsia="ja-JP"/>
        </w:rPr>
      </w:pPr>
      <w:r>
        <w:fldChar w:fldCharType="begin"/>
      </w:r>
      <w:r>
        <w:instrText xml:space="preserve"> TOC \t "Table caption" \c </w:instrText>
      </w:r>
      <w:r>
        <w:fldChar w:fldCharType="separate"/>
      </w:r>
      <w:r w:rsidR="00BF2619">
        <w:rPr>
          <w:noProof/>
        </w:rPr>
        <w:t>Table 1</w:t>
      </w:r>
      <w:r w:rsidR="00BF2619">
        <w:rPr>
          <w:rFonts w:eastAsiaTheme="minorEastAsia"/>
          <w:i w:val="0"/>
          <w:noProof/>
          <w:sz w:val="24"/>
          <w:szCs w:val="24"/>
          <w:lang w:val="en-US" w:eastAsia="ja-JP"/>
        </w:rPr>
        <w:tab/>
      </w:r>
      <w:r w:rsidR="00BF2619" w:rsidRPr="00602A71">
        <w:rPr>
          <w:rFonts w:cs="Arial"/>
          <w:noProof/>
        </w:rPr>
        <w:t>Requirements for GNSS systems [based on IMO A.1046 (27) &amp; IMO A.915(22)</w:t>
      </w:r>
      <w:r w:rsidR="00BF2619">
        <w:rPr>
          <w:noProof/>
        </w:rPr>
        <w:tab/>
      </w:r>
      <w:r w:rsidR="00BF2619">
        <w:rPr>
          <w:noProof/>
        </w:rPr>
        <w:fldChar w:fldCharType="begin"/>
      </w:r>
      <w:r w:rsidR="00BF2619">
        <w:rPr>
          <w:noProof/>
        </w:rPr>
        <w:instrText xml:space="preserve"> PAGEREF _Toc336178215 \h </w:instrText>
      </w:r>
      <w:r w:rsidR="00BF2619">
        <w:rPr>
          <w:noProof/>
        </w:rPr>
      </w:r>
      <w:r w:rsidR="00BF2619">
        <w:rPr>
          <w:noProof/>
        </w:rPr>
        <w:fldChar w:fldCharType="separate"/>
      </w:r>
      <w:r w:rsidR="00BF2619">
        <w:rPr>
          <w:noProof/>
        </w:rPr>
        <w:t>7</w:t>
      </w:r>
      <w:r w:rsidR="00BF2619">
        <w:rPr>
          <w:noProof/>
        </w:rPr>
        <w:fldChar w:fldCharType="end"/>
      </w:r>
    </w:p>
    <w:p w14:paraId="3ED856B5" w14:textId="77777777" w:rsidR="00BF2619" w:rsidRDefault="00BF2619">
      <w:pPr>
        <w:pStyle w:val="TableofFigures"/>
        <w:tabs>
          <w:tab w:val="left" w:pos="920"/>
        </w:tabs>
        <w:rPr>
          <w:rFonts w:eastAsiaTheme="minorEastAsia"/>
          <w:i w:val="0"/>
          <w:noProof/>
          <w:sz w:val="24"/>
          <w:szCs w:val="24"/>
          <w:lang w:val="en-US" w:eastAsia="ja-JP"/>
        </w:rPr>
      </w:pPr>
      <w:r>
        <w:rPr>
          <w:noProof/>
        </w:rPr>
        <w:t>Table 2</w:t>
      </w:r>
      <w:r>
        <w:rPr>
          <w:rFonts w:eastAsiaTheme="minorEastAsia"/>
          <w:i w:val="0"/>
          <w:noProof/>
          <w:sz w:val="24"/>
          <w:szCs w:val="24"/>
          <w:lang w:val="en-US" w:eastAsia="ja-JP"/>
        </w:rPr>
        <w:tab/>
      </w:r>
      <w:r>
        <w:rPr>
          <w:noProof/>
        </w:rPr>
        <w:t xml:space="preserve">Suggested minimum maritime user requirements for a backup system for general navigation </w:t>
      </w:r>
      <w:r w:rsidRPr="00BF2619">
        <w:rPr>
          <w:noProof/>
        </w:rPr>
        <w:t>[IALA Recommendation R-129]</w:t>
      </w:r>
      <w:r>
        <w:rPr>
          <w:noProof/>
        </w:rPr>
        <w:tab/>
      </w:r>
      <w:r>
        <w:rPr>
          <w:noProof/>
        </w:rPr>
        <w:fldChar w:fldCharType="begin"/>
      </w:r>
      <w:r>
        <w:rPr>
          <w:noProof/>
        </w:rPr>
        <w:instrText xml:space="preserve"> PAGEREF _Toc336178216 \h </w:instrText>
      </w:r>
      <w:r>
        <w:rPr>
          <w:noProof/>
        </w:rPr>
      </w:r>
      <w:r>
        <w:rPr>
          <w:noProof/>
        </w:rPr>
        <w:fldChar w:fldCharType="separate"/>
      </w:r>
      <w:r>
        <w:rPr>
          <w:noProof/>
        </w:rPr>
        <w:t>8</w:t>
      </w:r>
      <w:r>
        <w:rPr>
          <w:noProof/>
        </w:rPr>
        <w:fldChar w:fldCharType="end"/>
      </w:r>
    </w:p>
    <w:p w14:paraId="0C833499" w14:textId="77777777" w:rsidR="00BF2619" w:rsidRDefault="00BF2619">
      <w:pPr>
        <w:pStyle w:val="TableofFigures"/>
        <w:tabs>
          <w:tab w:val="left" w:pos="920"/>
        </w:tabs>
        <w:rPr>
          <w:rFonts w:eastAsiaTheme="minorEastAsia"/>
          <w:i w:val="0"/>
          <w:noProof/>
          <w:sz w:val="24"/>
          <w:szCs w:val="24"/>
          <w:lang w:val="en-US" w:eastAsia="ja-JP"/>
        </w:rPr>
      </w:pPr>
      <w:r>
        <w:rPr>
          <w:noProof/>
        </w:rPr>
        <w:t>Table 3</w:t>
      </w:r>
      <w:r>
        <w:rPr>
          <w:rFonts w:eastAsiaTheme="minorEastAsia"/>
          <w:i w:val="0"/>
          <w:noProof/>
          <w:sz w:val="24"/>
          <w:szCs w:val="24"/>
          <w:lang w:val="en-US" w:eastAsia="ja-JP"/>
        </w:rPr>
        <w:tab/>
      </w:r>
      <w:r>
        <w:rPr>
          <w:noProof/>
        </w:rPr>
        <w:t>eLoran required reading for service providers</w:t>
      </w:r>
      <w:r>
        <w:rPr>
          <w:noProof/>
        </w:rPr>
        <w:tab/>
      </w:r>
      <w:r>
        <w:rPr>
          <w:noProof/>
        </w:rPr>
        <w:fldChar w:fldCharType="begin"/>
      </w:r>
      <w:r>
        <w:rPr>
          <w:noProof/>
        </w:rPr>
        <w:instrText xml:space="preserve"> PAGEREF _Toc336178217 \h </w:instrText>
      </w:r>
      <w:r>
        <w:rPr>
          <w:noProof/>
        </w:rPr>
      </w:r>
      <w:r>
        <w:rPr>
          <w:noProof/>
        </w:rPr>
        <w:fldChar w:fldCharType="separate"/>
      </w:r>
      <w:r>
        <w:rPr>
          <w:noProof/>
        </w:rPr>
        <w:t>13</w:t>
      </w:r>
      <w:r>
        <w:rPr>
          <w:noProof/>
        </w:rPr>
        <w:fldChar w:fldCharType="end"/>
      </w:r>
    </w:p>
    <w:p w14:paraId="20859911" w14:textId="77777777" w:rsidR="00BF2619" w:rsidRDefault="00BF2619">
      <w:pPr>
        <w:pStyle w:val="TableofFigures"/>
        <w:tabs>
          <w:tab w:val="left" w:pos="920"/>
        </w:tabs>
        <w:rPr>
          <w:rFonts w:eastAsiaTheme="minorEastAsia"/>
          <w:i w:val="0"/>
          <w:noProof/>
          <w:sz w:val="24"/>
          <w:szCs w:val="24"/>
          <w:lang w:val="en-US" w:eastAsia="ja-JP"/>
        </w:rPr>
      </w:pPr>
      <w:r>
        <w:rPr>
          <w:noProof/>
        </w:rPr>
        <w:t>Table 4</w:t>
      </w:r>
      <w:r>
        <w:rPr>
          <w:rFonts w:eastAsiaTheme="minorEastAsia"/>
          <w:i w:val="0"/>
          <w:noProof/>
          <w:sz w:val="24"/>
          <w:szCs w:val="24"/>
          <w:lang w:val="en-US" w:eastAsia="ja-JP"/>
        </w:rPr>
        <w:tab/>
      </w:r>
      <w:r>
        <w:rPr>
          <w:noProof/>
        </w:rPr>
        <w:t>Definitions of different generations of Loran</w:t>
      </w:r>
      <w:r>
        <w:rPr>
          <w:noProof/>
        </w:rPr>
        <w:tab/>
      </w:r>
      <w:r>
        <w:rPr>
          <w:noProof/>
        </w:rPr>
        <w:fldChar w:fldCharType="begin"/>
      </w:r>
      <w:r>
        <w:rPr>
          <w:noProof/>
        </w:rPr>
        <w:instrText xml:space="preserve"> PAGEREF _Toc336178218 \h </w:instrText>
      </w:r>
      <w:r>
        <w:rPr>
          <w:noProof/>
        </w:rPr>
      </w:r>
      <w:r>
        <w:rPr>
          <w:noProof/>
        </w:rPr>
        <w:fldChar w:fldCharType="separate"/>
      </w:r>
      <w:r>
        <w:rPr>
          <w:noProof/>
        </w:rPr>
        <w:t>14</w:t>
      </w:r>
      <w:r>
        <w:rPr>
          <w:noProof/>
        </w:rPr>
        <w:fldChar w:fldCharType="end"/>
      </w:r>
    </w:p>
    <w:p w14:paraId="404DDF97" w14:textId="77777777" w:rsidR="00BF2619" w:rsidRDefault="00BF2619">
      <w:pPr>
        <w:pStyle w:val="TableofFigures"/>
        <w:tabs>
          <w:tab w:val="left" w:pos="920"/>
        </w:tabs>
        <w:rPr>
          <w:rFonts w:eastAsiaTheme="minorEastAsia"/>
          <w:i w:val="0"/>
          <w:noProof/>
          <w:sz w:val="24"/>
          <w:szCs w:val="24"/>
          <w:lang w:val="en-US" w:eastAsia="ja-JP"/>
        </w:rPr>
      </w:pPr>
      <w:r>
        <w:rPr>
          <w:noProof/>
        </w:rPr>
        <w:t>Table 5</w:t>
      </w:r>
      <w:r>
        <w:rPr>
          <w:rFonts w:eastAsiaTheme="minorEastAsia"/>
          <w:i w:val="0"/>
          <w:noProof/>
          <w:sz w:val="24"/>
          <w:szCs w:val="24"/>
          <w:lang w:val="en-US" w:eastAsia="ja-JP"/>
        </w:rPr>
        <w:tab/>
      </w:r>
      <w:r>
        <w:rPr>
          <w:noProof/>
        </w:rPr>
        <w:t>Example (historical) antenna heights versus power and type</w:t>
      </w:r>
      <w:r>
        <w:rPr>
          <w:noProof/>
        </w:rPr>
        <w:tab/>
      </w:r>
      <w:r>
        <w:rPr>
          <w:noProof/>
        </w:rPr>
        <w:fldChar w:fldCharType="begin"/>
      </w:r>
      <w:r>
        <w:rPr>
          <w:noProof/>
        </w:rPr>
        <w:instrText xml:space="preserve"> PAGEREF _Toc336178219 \h </w:instrText>
      </w:r>
      <w:r>
        <w:rPr>
          <w:noProof/>
        </w:rPr>
      </w:r>
      <w:r>
        <w:rPr>
          <w:noProof/>
        </w:rPr>
        <w:fldChar w:fldCharType="separate"/>
      </w:r>
      <w:r>
        <w:rPr>
          <w:noProof/>
        </w:rPr>
        <w:t>23</w:t>
      </w:r>
      <w:r>
        <w:rPr>
          <w:noProof/>
        </w:rPr>
        <w:fldChar w:fldCharType="end"/>
      </w:r>
    </w:p>
    <w:p w14:paraId="06878976" w14:textId="77777777" w:rsidR="00BF2619" w:rsidRDefault="00BF2619">
      <w:pPr>
        <w:pStyle w:val="TableofFigures"/>
        <w:tabs>
          <w:tab w:val="left" w:pos="920"/>
        </w:tabs>
        <w:rPr>
          <w:rFonts w:eastAsiaTheme="minorEastAsia"/>
          <w:i w:val="0"/>
          <w:noProof/>
          <w:sz w:val="24"/>
          <w:szCs w:val="24"/>
          <w:lang w:val="en-US" w:eastAsia="ja-JP"/>
        </w:rPr>
      </w:pPr>
      <w:r>
        <w:rPr>
          <w:noProof/>
        </w:rPr>
        <w:t>Table 6</w:t>
      </w:r>
      <w:r>
        <w:rPr>
          <w:rFonts w:eastAsiaTheme="minorEastAsia"/>
          <w:i w:val="0"/>
          <w:noProof/>
          <w:sz w:val="24"/>
          <w:szCs w:val="24"/>
          <w:lang w:val="en-US" w:eastAsia="ja-JP"/>
        </w:rPr>
        <w:tab/>
      </w:r>
      <w:r>
        <w:rPr>
          <w:noProof/>
        </w:rPr>
        <w:t>Information on maintenance and outages to be promulgated to users</w:t>
      </w:r>
      <w:r>
        <w:rPr>
          <w:noProof/>
        </w:rPr>
        <w:tab/>
      </w:r>
      <w:r>
        <w:rPr>
          <w:noProof/>
        </w:rPr>
        <w:fldChar w:fldCharType="begin"/>
      </w:r>
      <w:r>
        <w:rPr>
          <w:noProof/>
        </w:rPr>
        <w:instrText xml:space="preserve"> PAGEREF _Toc336178220 \h </w:instrText>
      </w:r>
      <w:r>
        <w:rPr>
          <w:noProof/>
        </w:rPr>
      </w:r>
      <w:r>
        <w:rPr>
          <w:noProof/>
        </w:rPr>
        <w:fldChar w:fldCharType="separate"/>
      </w:r>
      <w:r>
        <w:rPr>
          <w:noProof/>
        </w:rPr>
        <w:t>28</w:t>
      </w:r>
      <w:r>
        <w:rPr>
          <w:noProof/>
        </w:rPr>
        <w:fldChar w:fldCharType="end"/>
      </w:r>
    </w:p>
    <w:p w14:paraId="18B13309" w14:textId="77777777" w:rsidR="00BF2619" w:rsidRDefault="00BF2619">
      <w:pPr>
        <w:pStyle w:val="TableofFigures"/>
        <w:rPr>
          <w:rFonts w:eastAsiaTheme="minorEastAsia"/>
          <w:i w:val="0"/>
          <w:noProof/>
          <w:sz w:val="24"/>
          <w:szCs w:val="24"/>
          <w:lang w:val="en-US" w:eastAsia="ja-JP"/>
        </w:rPr>
      </w:pPr>
      <w:r>
        <w:rPr>
          <w:noProof/>
        </w:rPr>
        <w:t>Table A. 1.</w:t>
      </w:r>
      <w:r w:rsidRPr="00602A71">
        <w:rPr>
          <w:noProof/>
        </w:rPr>
        <w:t xml:space="preserve">    </w:t>
      </w:r>
      <w:r>
        <w:rPr>
          <w:noProof/>
        </w:rPr>
        <w:t>Duration of measurement period versus statistical significance for effective accuracy target to demonstrate 20m (95%) (assuming 5 seconds per fix)</w:t>
      </w:r>
      <w:r>
        <w:rPr>
          <w:noProof/>
        </w:rPr>
        <w:tab/>
      </w:r>
      <w:r>
        <w:rPr>
          <w:noProof/>
        </w:rPr>
        <w:fldChar w:fldCharType="begin"/>
      </w:r>
      <w:r>
        <w:rPr>
          <w:noProof/>
        </w:rPr>
        <w:instrText xml:space="preserve"> PAGEREF _Toc336178221 \h </w:instrText>
      </w:r>
      <w:r>
        <w:rPr>
          <w:noProof/>
        </w:rPr>
      </w:r>
      <w:r>
        <w:rPr>
          <w:noProof/>
        </w:rPr>
        <w:fldChar w:fldCharType="separate"/>
      </w:r>
      <w:r>
        <w:rPr>
          <w:noProof/>
        </w:rPr>
        <w:t>43</w:t>
      </w:r>
      <w:r>
        <w:rPr>
          <w:noProof/>
        </w:rPr>
        <w:fldChar w:fldCharType="end"/>
      </w:r>
    </w:p>
    <w:p w14:paraId="60FF9877" w14:textId="77777777" w:rsidR="00BF2619" w:rsidRDefault="00BF2619">
      <w:pPr>
        <w:pStyle w:val="TableofFigures"/>
        <w:rPr>
          <w:rFonts w:eastAsiaTheme="minorEastAsia"/>
          <w:i w:val="0"/>
          <w:noProof/>
          <w:sz w:val="24"/>
          <w:szCs w:val="24"/>
          <w:lang w:val="en-US" w:eastAsia="ja-JP"/>
        </w:rPr>
      </w:pPr>
      <w:r>
        <w:rPr>
          <w:noProof/>
        </w:rPr>
        <w:t>Table A. 2.</w:t>
      </w:r>
      <w:r w:rsidRPr="00602A71">
        <w:rPr>
          <w:noProof/>
        </w:rPr>
        <w:t xml:space="preserve">    </w:t>
      </w:r>
      <w:r>
        <w:rPr>
          <w:noProof/>
        </w:rPr>
        <w:t>Duration of measurement period versus statistical significance for effective Integrity Risk target to demonstrate 10</w:t>
      </w:r>
      <w:r w:rsidRPr="00602A71">
        <w:rPr>
          <w:iCs/>
          <w:noProof/>
          <w:vertAlign w:val="superscript"/>
        </w:rPr>
        <w:t>-4</w:t>
      </w:r>
      <w:r>
        <w:rPr>
          <w:noProof/>
        </w:rPr>
        <w:t xml:space="preserve">  Integrity Risk (assuming 5 seconds per fix)</w:t>
      </w:r>
      <w:r>
        <w:rPr>
          <w:noProof/>
        </w:rPr>
        <w:tab/>
      </w:r>
      <w:r>
        <w:rPr>
          <w:noProof/>
        </w:rPr>
        <w:fldChar w:fldCharType="begin"/>
      </w:r>
      <w:r>
        <w:rPr>
          <w:noProof/>
        </w:rPr>
        <w:instrText xml:space="preserve"> PAGEREF _Toc336178222 \h </w:instrText>
      </w:r>
      <w:r>
        <w:rPr>
          <w:noProof/>
        </w:rPr>
      </w:r>
      <w:r>
        <w:rPr>
          <w:noProof/>
        </w:rPr>
        <w:fldChar w:fldCharType="separate"/>
      </w:r>
      <w:r>
        <w:rPr>
          <w:noProof/>
        </w:rPr>
        <w:t>44</w:t>
      </w:r>
      <w:r>
        <w:rPr>
          <w:noProof/>
        </w:rPr>
        <w:fldChar w:fldCharType="end"/>
      </w:r>
    </w:p>
    <w:p w14:paraId="2FFEF2D8" w14:textId="77777777" w:rsidR="00161325" w:rsidRPr="00C91630" w:rsidRDefault="00923B4D" w:rsidP="00923B4D">
      <w:pPr>
        <w:pStyle w:val="BodyText"/>
      </w:pPr>
      <w:r>
        <w:fldChar w:fldCharType="end"/>
      </w:r>
    </w:p>
    <w:p w14:paraId="62B70B87" w14:textId="77777777" w:rsidR="00994D97" w:rsidRDefault="00994D97" w:rsidP="00C9558A">
      <w:pPr>
        <w:pStyle w:val="ListofFigures"/>
      </w:pPr>
      <w:r w:rsidRPr="00441393">
        <w:t>List of Figures</w:t>
      </w:r>
    </w:p>
    <w:p w14:paraId="5800872E" w14:textId="77777777" w:rsidR="00BF2619" w:rsidRDefault="00923B4D">
      <w:pPr>
        <w:pStyle w:val="TableofFigures"/>
        <w:tabs>
          <w:tab w:val="left" w:pos="1003"/>
        </w:tabs>
        <w:rPr>
          <w:rFonts w:eastAsiaTheme="minorEastAsia"/>
          <w:i w:val="0"/>
          <w:noProof/>
          <w:sz w:val="24"/>
          <w:szCs w:val="24"/>
          <w:lang w:val="en-US" w:eastAsia="ja-JP"/>
        </w:rPr>
      </w:pPr>
      <w:r>
        <w:fldChar w:fldCharType="begin"/>
      </w:r>
      <w:r>
        <w:instrText xml:space="preserve"> TOC \t "Figure caption" \c </w:instrText>
      </w:r>
      <w:r>
        <w:fldChar w:fldCharType="separate"/>
      </w:r>
      <w:r w:rsidR="00BF2619">
        <w:rPr>
          <w:noProof/>
        </w:rPr>
        <w:t>Figure 1</w:t>
      </w:r>
      <w:r w:rsidR="00BF2619">
        <w:rPr>
          <w:rFonts w:eastAsiaTheme="minorEastAsia"/>
          <w:i w:val="0"/>
          <w:noProof/>
          <w:sz w:val="24"/>
          <w:szCs w:val="24"/>
          <w:lang w:val="en-US" w:eastAsia="ja-JP"/>
        </w:rPr>
        <w:tab/>
      </w:r>
      <w:r w:rsidR="00BF2619">
        <w:rPr>
          <w:noProof/>
        </w:rPr>
        <w:t>The service architecture for eLoran and the components required. After ‘eLoran Definition Document’, V1.0, October 2007, International Loran Association</w:t>
      </w:r>
      <w:r w:rsidR="00BF2619">
        <w:rPr>
          <w:noProof/>
        </w:rPr>
        <w:tab/>
      </w:r>
      <w:r w:rsidR="00BF2619">
        <w:rPr>
          <w:noProof/>
        </w:rPr>
        <w:fldChar w:fldCharType="begin"/>
      </w:r>
      <w:r w:rsidR="00BF2619">
        <w:rPr>
          <w:noProof/>
        </w:rPr>
        <w:instrText xml:space="preserve"> PAGEREF _Toc336178223 \h </w:instrText>
      </w:r>
      <w:r w:rsidR="00BF2619">
        <w:rPr>
          <w:noProof/>
        </w:rPr>
      </w:r>
      <w:r w:rsidR="00BF2619">
        <w:rPr>
          <w:noProof/>
        </w:rPr>
        <w:fldChar w:fldCharType="separate"/>
      </w:r>
      <w:r w:rsidR="00BF2619">
        <w:rPr>
          <w:noProof/>
        </w:rPr>
        <w:t>10</w:t>
      </w:r>
      <w:r w:rsidR="00BF2619">
        <w:rPr>
          <w:noProof/>
        </w:rPr>
        <w:fldChar w:fldCharType="end"/>
      </w:r>
    </w:p>
    <w:p w14:paraId="274ED611" w14:textId="77777777" w:rsidR="00BF2619" w:rsidRDefault="00BF2619">
      <w:pPr>
        <w:pStyle w:val="TableofFigures"/>
        <w:tabs>
          <w:tab w:val="left" w:pos="1003"/>
        </w:tabs>
        <w:rPr>
          <w:rFonts w:eastAsiaTheme="minorEastAsia"/>
          <w:i w:val="0"/>
          <w:noProof/>
          <w:sz w:val="24"/>
          <w:szCs w:val="24"/>
          <w:lang w:val="en-US" w:eastAsia="ja-JP"/>
        </w:rPr>
      </w:pPr>
      <w:r>
        <w:rPr>
          <w:noProof/>
        </w:rPr>
        <w:t>Figure 2</w:t>
      </w:r>
      <w:r>
        <w:rPr>
          <w:rFonts w:eastAsiaTheme="minorEastAsia"/>
          <w:i w:val="0"/>
          <w:noProof/>
          <w:sz w:val="24"/>
          <w:szCs w:val="24"/>
          <w:lang w:val="en-US" w:eastAsia="ja-JP"/>
        </w:rPr>
        <w:tab/>
      </w:r>
      <w:r>
        <w:rPr>
          <w:noProof/>
        </w:rPr>
        <w:t>eLoran signal structure and frequency spectrum</w:t>
      </w:r>
      <w:r>
        <w:rPr>
          <w:noProof/>
        </w:rPr>
        <w:tab/>
      </w:r>
      <w:r>
        <w:rPr>
          <w:noProof/>
        </w:rPr>
        <w:fldChar w:fldCharType="begin"/>
      </w:r>
      <w:r>
        <w:rPr>
          <w:noProof/>
        </w:rPr>
        <w:instrText xml:space="preserve"> PAGEREF _Toc336178224 \h </w:instrText>
      </w:r>
      <w:r>
        <w:rPr>
          <w:noProof/>
        </w:rPr>
      </w:r>
      <w:r>
        <w:rPr>
          <w:noProof/>
        </w:rPr>
        <w:fldChar w:fldCharType="separate"/>
      </w:r>
      <w:r>
        <w:rPr>
          <w:noProof/>
        </w:rPr>
        <w:t>11</w:t>
      </w:r>
      <w:r>
        <w:rPr>
          <w:noProof/>
        </w:rPr>
        <w:fldChar w:fldCharType="end"/>
      </w:r>
    </w:p>
    <w:p w14:paraId="1677024D" w14:textId="77777777" w:rsidR="00BF2619" w:rsidRDefault="00BF2619">
      <w:pPr>
        <w:pStyle w:val="TableofFigures"/>
        <w:tabs>
          <w:tab w:val="left" w:pos="1003"/>
        </w:tabs>
        <w:rPr>
          <w:rFonts w:eastAsiaTheme="minorEastAsia"/>
          <w:i w:val="0"/>
          <w:noProof/>
          <w:sz w:val="24"/>
          <w:szCs w:val="24"/>
          <w:lang w:val="en-US" w:eastAsia="ja-JP"/>
        </w:rPr>
      </w:pPr>
      <w:r>
        <w:rPr>
          <w:noProof/>
        </w:rPr>
        <w:t>Figure 3</w:t>
      </w:r>
      <w:r>
        <w:rPr>
          <w:rFonts w:eastAsiaTheme="minorEastAsia"/>
          <w:i w:val="0"/>
          <w:noProof/>
          <w:sz w:val="24"/>
          <w:szCs w:val="24"/>
          <w:lang w:val="en-US" w:eastAsia="ja-JP"/>
        </w:rPr>
        <w:tab/>
      </w:r>
      <w:r>
        <w:rPr>
          <w:noProof/>
        </w:rPr>
        <w:t>A model of the power spectrum of an eLoran signal</w:t>
      </w:r>
      <w:r>
        <w:rPr>
          <w:noProof/>
        </w:rPr>
        <w:tab/>
      </w:r>
      <w:r>
        <w:rPr>
          <w:noProof/>
        </w:rPr>
        <w:fldChar w:fldCharType="begin"/>
      </w:r>
      <w:r>
        <w:rPr>
          <w:noProof/>
        </w:rPr>
        <w:instrText xml:space="preserve"> PAGEREF _Toc336178225 \h </w:instrText>
      </w:r>
      <w:r>
        <w:rPr>
          <w:noProof/>
        </w:rPr>
      </w:r>
      <w:r>
        <w:rPr>
          <w:noProof/>
        </w:rPr>
        <w:fldChar w:fldCharType="separate"/>
      </w:r>
      <w:r>
        <w:rPr>
          <w:noProof/>
        </w:rPr>
        <w:t>12</w:t>
      </w:r>
      <w:r>
        <w:rPr>
          <w:noProof/>
        </w:rPr>
        <w:fldChar w:fldCharType="end"/>
      </w:r>
    </w:p>
    <w:p w14:paraId="6E9FF952" w14:textId="77777777" w:rsidR="00BF2619" w:rsidRDefault="00BF2619">
      <w:pPr>
        <w:pStyle w:val="TableofFigures"/>
        <w:tabs>
          <w:tab w:val="left" w:pos="1003"/>
        </w:tabs>
        <w:rPr>
          <w:rFonts w:eastAsiaTheme="minorEastAsia"/>
          <w:i w:val="0"/>
          <w:noProof/>
          <w:sz w:val="24"/>
          <w:szCs w:val="24"/>
          <w:lang w:val="en-US" w:eastAsia="ja-JP"/>
        </w:rPr>
      </w:pPr>
      <w:r>
        <w:rPr>
          <w:noProof/>
        </w:rPr>
        <w:t>Figure 4</w:t>
      </w:r>
      <w:r>
        <w:rPr>
          <w:rFonts w:eastAsiaTheme="minorEastAsia"/>
          <w:i w:val="0"/>
          <w:noProof/>
          <w:sz w:val="24"/>
          <w:szCs w:val="24"/>
          <w:lang w:val="en-US" w:eastAsia="ja-JP"/>
        </w:rPr>
        <w:tab/>
      </w:r>
      <w:r w:rsidRPr="00CC0662">
        <w:rPr>
          <w:rFonts w:cs="Arial"/>
          <w:noProof/>
        </w:rPr>
        <w:t>Zoomed in view of the power spectrum shown in Figure 3</w:t>
      </w:r>
      <w:r>
        <w:rPr>
          <w:noProof/>
        </w:rPr>
        <w:tab/>
      </w:r>
      <w:r>
        <w:rPr>
          <w:noProof/>
        </w:rPr>
        <w:fldChar w:fldCharType="begin"/>
      </w:r>
      <w:r>
        <w:rPr>
          <w:noProof/>
        </w:rPr>
        <w:instrText xml:space="preserve"> PAGEREF _Toc336178226 \h </w:instrText>
      </w:r>
      <w:r>
        <w:rPr>
          <w:noProof/>
        </w:rPr>
      </w:r>
      <w:r>
        <w:rPr>
          <w:noProof/>
        </w:rPr>
        <w:fldChar w:fldCharType="separate"/>
      </w:r>
      <w:r>
        <w:rPr>
          <w:noProof/>
        </w:rPr>
        <w:t>12</w:t>
      </w:r>
      <w:r>
        <w:rPr>
          <w:noProof/>
        </w:rPr>
        <w:fldChar w:fldCharType="end"/>
      </w:r>
    </w:p>
    <w:p w14:paraId="0A2CA538" w14:textId="77777777" w:rsidR="00BF2619" w:rsidRDefault="00BF2619">
      <w:pPr>
        <w:pStyle w:val="TableofFigures"/>
        <w:tabs>
          <w:tab w:val="left" w:pos="1003"/>
        </w:tabs>
        <w:rPr>
          <w:rFonts w:eastAsiaTheme="minorEastAsia"/>
          <w:i w:val="0"/>
          <w:noProof/>
          <w:sz w:val="24"/>
          <w:szCs w:val="24"/>
          <w:lang w:val="en-US" w:eastAsia="ja-JP"/>
        </w:rPr>
      </w:pPr>
      <w:r>
        <w:rPr>
          <w:noProof/>
        </w:rPr>
        <w:t>Figure 5</w:t>
      </w:r>
      <w:r>
        <w:rPr>
          <w:rFonts w:eastAsiaTheme="minorEastAsia"/>
          <w:i w:val="0"/>
          <w:noProof/>
          <w:sz w:val="24"/>
          <w:szCs w:val="24"/>
          <w:lang w:val="en-US" w:eastAsia="ja-JP"/>
        </w:rPr>
        <w:tab/>
      </w:r>
      <w:r>
        <w:rPr>
          <w:noProof/>
        </w:rPr>
        <w:t>Real-life, off-air signal measurements</w:t>
      </w:r>
      <w:r>
        <w:rPr>
          <w:noProof/>
        </w:rPr>
        <w:tab/>
      </w:r>
      <w:r>
        <w:rPr>
          <w:noProof/>
        </w:rPr>
        <w:fldChar w:fldCharType="begin"/>
      </w:r>
      <w:r>
        <w:rPr>
          <w:noProof/>
        </w:rPr>
        <w:instrText xml:space="preserve"> PAGEREF _Toc336178227 \h </w:instrText>
      </w:r>
      <w:r>
        <w:rPr>
          <w:noProof/>
        </w:rPr>
      </w:r>
      <w:r>
        <w:rPr>
          <w:noProof/>
        </w:rPr>
        <w:fldChar w:fldCharType="separate"/>
      </w:r>
      <w:r>
        <w:rPr>
          <w:noProof/>
        </w:rPr>
        <w:t>13</w:t>
      </w:r>
      <w:r>
        <w:rPr>
          <w:noProof/>
        </w:rPr>
        <w:fldChar w:fldCharType="end"/>
      </w:r>
    </w:p>
    <w:p w14:paraId="6DCB1481" w14:textId="77777777" w:rsidR="00BF2619" w:rsidRDefault="00BF2619">
      <w:pPr>
        <w:pStyle w:val="TableofFigures"/>
        <w:tabs>
          <w:tab w:val="left" w:pos="1003"/>
        </w:tabs>
        <w:rPr>
          <w:rFonts w:eastAsiaTheme="minorEastAsia"/>
          <w:i w:val="0"/>
          <w:noProof/>
          <w:sz w:val="24"/>
          <w:szCs w:val="24"/>
          <w:lang w:val="en-US" w:eastAsia="ja-JP"/>
        </w:rPr>
      </w:pPr>
      <w:r>
        <w:rPr>
          <w:noProof/>
        </w:rPr>
        <w:t>Figure 6</w:t>
      </w:r>
      <w:r>
        <w:rPr>
          <w:rFonts w:eastAsiaTheme="minorEastAsia"/>
          <w:i w:val="0"/>
          <w:noProof/>
          <w:sz w:val="24"/>
          <w:szCs w:val="24"/>
          <w:lang w:val="en-US" w:eastAsia="ja-JP"/>
        </w:rPr>
        <w:tab/>
      </w:r>
      <w:r>
        <w:rPr>
          <w:noProof/>
        </w:rPr>
        <w:t>Example of all-in-view positioning using Anthorn, Lessay and Sylt. With all-in-view mode signals need not belong to the same GRI and more than three signals are employed in the positioning solution in order to provide integrity</w:t>
      </w:r>
      <w:r>
        <w:rPr>
          <w:noProof/>
        </w:rPr>
        <w:tab/>
      </w:r>
      <w:r>
        <w:rPr>
          <w:noProof/>
        </w:rPr>
        <w:fldChar w:fldCharType="begin"/>
      </w:r>
      <w:r>
        <w:rPr>
          <w:noProof/>
        </w:rPr>
        <w:instrText xml:space="preserve"> PAGEREF _Toc336178228 \h </w:instrText>
      </w:r>
      <w:r>
        <w:rPr>
          <w:noProof/>
        </w:rPr>
      </w:r>
      <w:r>
        <w:rPr>
          <w:noProof/>
        </w:rPr>
        <w:fldChar w:fldCharType="separate"/>
      </w:r>
      <w:r>
        <w:rPr>
          <w:noProof/>
        </w:rPr>
        <w:t>16</w:t>
      </w:r>
      <w:r>
        <w:rPr>
          <w:noProof/>
        </w:rPr>
        <w:fldChar w:fldCharType="end"/>
      </w:r>
    </w:p>
    <w:p w14:paraId="22DE9DCA" w14:textId="77777777" w:rsidR="00BF2619" w:rsidRDefault="00BF2619">
      <w:pPr>
        <w:pStyle w:val="TableofFigures"/>
        <w:tabs>
          <w:tab w:val="left" w:pos="1003"/>
        </w:tabs>
        <w:rPr>
          <w:rFonts w:eastAsiaTheme="minorEastAsia"/>
          <w:i w:val="0"/>
          <w:noProof/>
          <w:sz w:val="24"/>
          <w:szCs w:val="24"/>
          <w:lang w:val="en-US" w:eastAsia="ja-JP"/>
        </w:rPr>
      </w:pPr>
      <w:r>
        <w:rPr>
          <w:noProof/>
        </w:rPr>
        <w:t>Figure 7</w:t>
      </w:r>
      <w:r>
        <w:rPr>
          <w:rFonts w:eastAsiaTheme="minorEastAsia"/>
          <w:i w:val="0"/>
          <w:noProof/>
          <w:sz w:val="24"/>
          <w:szCs w:val="24"/>
          <w:lang w:val="en-US" w:eastAsia="ja-JP"/>
        </w:rPr>
        <w:tab/>
      </w:r>
      <w:r>
        <w:rPr>
          <w:noProof/>
        </w:rPr>
        <w:t>ASF due to Lessay results in a position offset if it is not taken into account.</w:t>
      </w:r>
      <w:r>
        <w:rPr>
          <w:noProof/>
        </w:rPr>
        <w:tab/>
      </w:r>
      <w:r>
        <w:rPr>
          <w:noProof/>
        </w:rPr>
        <w:fldChar w:fldCharType="begin"/>
      </w:r>
      <w:r>
        <w:rPr>
          <w:noProof/>
        </w:rPr>
        <w:instrText xml:space="preserve"> PAGEREF _Toc336178229 \h </w:instrText>
      </w:r>
      <w:r>
        <w:rPr>
          <w:noProof/>
        </w:rPr>
      </w:r>
      <w:r>
        <w:rPr>
          <w:noProof/>
        </w:rPr>
        <w:fldChar w:fldCharType="separate"/>
      </w:r>
      <w:r>
        <w:rPr>
          <w:noProof/>
        </w:rPr>
        <w:t>17</w:t>
      </w:r>
      <w:r>
        <w:rPr>
          <w:noProof/>
        </w:rPr>
        <w:fldChar w:fldCharType="end"/>
      </w:r>
    </w:p>
    <w:p w14:paraId="51580AD9" w14:textId="77777777" w:rsidR="00BF2619" w:rsidRDefault="00BF2619">
      <w:pPr>
        <w:pStyle w:val="TableofFigures"/>
        <w:tabs>
          <w:tab w:val="left" w:pos="1003"/>
        </w:tabs>
        <w:rPr>
          <w:rFonts w:eastAsiaTheme="minorEastAsia"/>
          <w:i w:val="0"/>
          <w:noProof/>
          <w:sz w:val="24"/>
          <w:szCs w:val="24"/>
          <w:lang w:val="en-US" w:eastAsia="ja-JP"/>
        </w:rPr>
      </w:pPr>
      <w:r>
        <w:rPr>
          <w:noProof/>
        </w:rPr>
        <w:lastRenderedPageBreak/>
        <w:t>Figure 8</w:t>
      </w:r>
      <w:r>
        <w:rPr>
          <w:rFonts w:eastAsiaTheme="minorEastAsia"/>
          <w:i w:val="0"/>
          <w:noProof/>
          <w:sz w:val="24"/>
          <w:szCs w:val="24"/>
          <w:lang w:val="en-US" w:eastAsia="ja-JP"/>
        </w:rPr>
        <w:tab/>
      </w:r>
      <w:r>
        <w:rPr>
          <w:noProof/>
        </w:rPr>
        <w:t>An example of an ASF Measurement System</w:t>
      </w:r>
      <w:r>
        <w:rPr>
          <w:noProof/>
        </w:rPr>
        <w:tab/>
      </w:r>
      <w:r>
        <w:rPr>
          <w:noProof/>
        </w:rPr>
        <w:fldChar w:fldCharType="begin"/>
      </w:r>
      <w:r>
        <w:rPr>
          <w:noProof/>
        </w:rPr>
        <w:instrText xml:space="preserve"> PAGEREF _Toc336178230 \h </w:instrText>
      </w:r>
      <w:r>
        <w:rPr>
          <w:noProof/>
        </w:rPr>
      </w:r>
      <w:r>
        <w:rPr>
          <w:noProof/>
        </w:rPr>
        <w:fldChar w:fldCharType="separate"/>
      </w:r>
      <w:r>
        <w:rPr>
          <w:noProof/>
        </w:rPr>
        <w:t>18</w:t>
      </w:r>
      <w:r>
        <w:rPr>
          <w:noProof/>
        </w:rPr>
        <w:fldChar w:fldCharType="end"/>
      </w:r>
    </w:p>
    <w:p w14:paraId="670C6180" w14:textId="77777777" w:rsidR="005E4659" w:rsidRDefault="00923B4D" w:rsidP="007D1805">
      <w:pPr>
        <w:pStyle w:val="TableofFigures"/>
      </w:pPr>
      <w:r>
        <w:fldChar w:fldCharType="end"/>
      </w:r>
    </w:p>
    <w:p w14:paraId="226F0644" w14:textId="39A51713" w:rsidR="00B07717" w:rsidRPr="00161325" w:rsidRDefault="00B07717" w:rsidP="007D1805">
      <w:pPr>
        <w:pStyle w:val="TableofFigures"/>
      </w:pPr>
    </w:p>
    <w:p w14:paraId="18501D92"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548B2CB9" w14:textId="77777777" w:rsidR="004944C8" w:rsidRDefault="00ED4450" w:rsidP="00DE2814">
      <w:pPr>
        <w:pStyle w:val="Heading1"/>
      </w:pPr>
      <w:bookmarkStart w:id="6" w:name="_Toc336181773"/>
      <w:r>
        <w:lastRenderedPageBreak/>
        <w:t>INTRODUCTION</w:t>
      </w:r>
      <w:bookmarkEnd w:id="6"/>
    </w:p>
    <w:p w14:paraId="7A3FA85E" w14:textId="77777777" w:rsidR="004944C8" w:rsidRDefault="004944C8" w:rsidP="004944C8">
      <w:pPr>
        <w:pStyle w:val="Heading1separatationline"/>
      </w:pPr>
    </w:p>
    <w:p w14:paraId="72321CE4" w14:textId="77777777" w:rsidR="00296B1E" w:rsidRDefault="00296B1E" w:rsidP="00296B1E">
      <w:pPr>
        <w:pStyle w:val="BodyText"/>
      </w:pPr>
      <w:r>
        <w:t>Service providers are opting to provide eLoran services as part of a robust PNT solution, as eLoran is dissimilar and complementary to GNSS services. The aim of this Guideline is to enable service providers to deliver, monitor and assess the performance of eLoran services in a common manner.</w:t>
      </w:r>
    </w:p>
    <w:p w14:paraId="4D438857" w14:textId="30179811" w:rsidR="0042565E" w:rsidRDefault="00296B1E" w:rsidP="00EA347B">
      <w:pPr>
        <w:pStyle w:val="BodyText"/>
      </w:pPr>
      <w:r>
        <w:t>System performance is based on the assumptions that the system provider conforms to these Guidelines and that the user equipment meets the design and installation standards as specified in the referenced documentation.</w:t>
      </w:r>
    </w:p>
    <w:p w14:paraId="32D24B72" w14:textId="77777777" w:rsidR="00EA347B" w:rsidRDefault="00EA347B" w:rsidP="00565D6B">
      <w:pPr>
        <w:pStyle w:val="Heading2"/>
      </w:pPr>
      <w:bookmarkStart w:id="7" w:name="_Toc336181774"/>
      <w:r>
        <w:t>Performance requirements</w:t>
      </w:r>
      <w:bookmarkEnd w:id="7"/>
    </w:p>
    <w:p w14:paraId="48A52616" w14:textId="77777777" w:rsidR="00EA347B" w:rsidRDefault="00EA347B" w:rsidP="00EA347B">
      <w:pPr>
        <w:pStyle w:val="Heading2separationline"/>
      </w:pPr>
    </w:p>
    <w:p w14:paraId="02B2F363" w14:textId="44663A10" w:rsidR="00EA347B" w:rsidRDefault="00296B1E" w:rsidP="00EA347B">
      <w:pPr>
        <w:pStyle w:val="BodyText"/>
      </w:pPr>
      <w:r w:rsidRPr="00296B1E">
        <w:t xml:space="preserve">IMO Resolution A.1046 (27) </w:t>
      </w:r>
      <w:r>
        <w:fldChar w:fldCharType="begin"/>
      </w:r>
      <w:r>
        <w:instrText xml:space="preserve"> REF _Ref453940001 \r \h </w:instrText>
      </w:r>
      <w:r>
        <w:fldChar w:fldCharType="separate"/>
      </w:r>
      <w:r>
        <w:t>[1]</w:t>
      </w:r>
      <w:r>
        <w:fldChar w:fldCharType="end"/>
      </w:r>
      <w:r w:rsidRPr="00296B1E">
        <w:t xml:space="preserve"> details the requirements on World-Wide Radio Navigation Systems (WWRNS) considering vessels operating in the Ocean and harbour entrances, harbour approaches and coastal waters. The requirements are described by accuracy, integrity, availability, and continuity </w:t>
      </w:r>
      <w:r>
        <w:fldChar w:fldCharType="begin"/>
      </w:r>
      <w:r>
        <w:instrText xml:space="preserve"> REF _Ref453940021 \r \h </w:instrText>
      </w:r>
      <w:r>
        <w:fldChar w:fldCharType="separate"/>
      </w:r>
      <w:r>
        <w:t>[2]</w:t>
      </w:r>
      <w:r>
        <w:fldChar w:fldCharType="end"/>
      </w:r>
      <w:r w:rsidRPr="00296B1E">
        <w:t xml:space="preserve">. </w:t>
      </w:r>
      <w:r>
        <w:fldChar w:fldCharType="begin"/>
      </w:r>
      <w:r>
        <w:instrText xml:space="preserve"> REF _Ref453911305 \r \h </w:instrText>
      </w:r>
      <w:r>
        <w:fldChar w:fldCharType="separate"/>
      </w:r>
      <w:r>
        <w:t>Table 1</w:t>
      </w:r>
      <w:r>
        <w:fldChar w:fldCharType="end"/>
      </w:r>
      <w:r w:rsidRPr="00296B1E">
        <w:t xml:space="preserve"> summarizes the requirements specified in A.1046 (27), whereby the requirement on availability is given as signal availability describing the availability of radio navigation signals in the specific coverage area </w:t>
      </w:r>
      <w:r>
        <w:fldChar w:fldCharType="begin"/>
      </w:r>
      <w:r>
        <w:instrText xml:space="preserve"> REF _Ref453940038 \r \h </w:instrText>
      </w:r>
      <w:r>
        <w:fldChar w:fldCharType="separate"/>
      </w:r>
      <w:r>
        <w:t>[3]</w:t>
      </w:r>
      <w:r>
        <w:fldChar w:fldCharType="end"/>
      </w:r>
      <w:r w:rsidRPr="00296B1E">
        <w:t>.</w:t>
      </w:r>
    </w:p>
    <w:p w14:paraId="262FC4D4" w14:textId="3D546FEA" w:rsidR="00EA347B" w:rsidRPr="00EA347B" w:rsidRDefault="00EA347B" w:rsidP="00EA347B">
      <w:pPr>
        <w:pStyle w:val="Tablecaption"/>
        <w:jc w:val="center"/>
      </w:pPr>
      <w:bookmarkStart w:id="8" w:name="_Ref453911305"/>
      <w:bookmarkStart w:id="9" w:name="_Toc336178215"/>
      <w:r w:rsidRPr="00EA347B">
        <w:rPr>
          <w:rFonts w:cs="Arial"/>
        </w:rPr>
        <w:t>Requirements for GNSS systems [based on IMO A.1046 (27) &amp; IMO A.915(22)</w:t>
      </w:r>
      <w:bookmarkEnd w:id="8"/>
      <w:bookmarkEnd w:id="9"/>
      <w:r w:rsidR="00B27C78">
        <w:rPr>
          <w:rFonts w:cs="Aria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268"/>
        <w:gridCol w:w="857"/>
        <w:gridCol w:w="858"/>
        <w:gridCol w:w="905"/>
        <w:gridCol w:w="1172"/>
        <w:gridCol w:w="1072"/>
      </w:tblGrid>
      <w:tr w:rsidR="00EA347B" w:rsidRPr="001C5060" w14:paraId="23E98831" w14:textId="77777777" w:rsidTr="0006783B">
        <w:trPr>
          <w:jc w:val="center"/>
        </w:trPr>
        <w:tc>
          <w:tcPr>
            <w:tcW w:w="1701" w:type="dxa"/>
            <w:tcBorders>
              <w:bottom w:val="nil"/>
            </w:tcBorders>
          </w:tcPr>
          <w:p w14:paraId="119EC4C6" w14:textId="77777777" w:rsidR="00EA347B" w:rsidRPr="001C5060" w:rsidRDefault="00EA347B" w:rsidP="0006783B">
            <w:pPr>
              <w:jc w:val="both"/>
              <w:rPr>
                <w:rFonts w:ascii="Arial" w:hAnsi="Arial" w:cs="Arial"/>
                <w:szCs w:val="18"/>
              </w:rPr>
            </w:pPr>
          </w:p>
        </w:tc>
        <w:tc>
          <w:tcPr>
            <w:tcW w:w="3888" w:type="dxa"/>
            <w:gridSpan w:val="4"/>
            <w:vAlign w:val="center"/>
          </w:tcPr>
          <w:p w14:paraId="12EF9C8D" w14:textId="77777777" w:rsidR="00EA347B" w:rsidRPr="001C5060" w:rsidRDefault="00EA347B" w:rsidP="0006783B">
            <w:pPr>
              <w:jc w:val="center"/>
              <w:rPr>
                <w:rFonts w:ascii="Arial" w:hAnsi="Arial" w:cs="Arial"/>
                <w:szCs w:val="18"/>
              </w:rPr>
            </w:pPr>
            <w:r w:rsidRPr="001C5060">
              <w:rPr>
                <w:rFonts w:ascii="Arial" w:hAnsi="Arial" w:cs="Arial"/>
                <w:szCs w:val="18"/>
              </w:rPr>
              <w:t>System Level</w:t>
            </w:r>
          </w:p>
        </w:tc>
        <w:tc>
          <w:tcPr>
            <w:tcW w:w="2244" w:type="dxa"/>
            <w:gridSpan w:val="2"/>
            <w:vAlign w:val="center"/>
          </w:tcPr>
          <w:p w14:paraId="0D557EAE" w14:textId="77777777" w:rsidR="00EA347B" w:rsidRPr="001C5060" w:rsidRDefault="00EA347B" w:rsidP="0006783B">
            <w:pPr>
              <w:jc w:val="center"/>
              <w:rPr>
                <w:rFonts w:ascii="Arial" w:hAnsi="Arial" w:cs="Arial"/>
                <w:szCs w:val="18"/>
              </w:rPr>
            </w:pPr>
            <w:r w:rsidRPr="001C5060">
              <w:rPr>
                <w:rFonts w:ascii="Arial" w:hAnsi="Arial" w:cs="Arial"/>
                <w:szCs w:val="18"/>
              </w:rPr>
              <w:t>Service Level</w:t>
            </w:r>
          </w:p>
        </w:tc>
      </w:tr>
      <w:tr w:rsidR="00EA347B" w:rsidRPr="001C5060" w14:paraId="195CF344" w14:textId="77777777" w:rsidTr="0006783B">
        <w:trPr>
          <w:jc w:val="center"/>
        </w:trPr>
        <w:tc>
          <w:tcPr>
            <w:tcW w:w="1701" w:type="dxa"/>
            <w:tcBorders>
              <w:top w:val="nil"/>
              <w:bottom w:val="nil"/>
            </w:tcBorders>
          </w:tcPr>
          <w:p w14:paraId="511A955E" w14:textId="77777777" w:rsidR="00EA347B" w:rsidRPr="001C5060" w:rsidRDefault="00EA347B" w:rsidP="0006783B">
            <w:pPr>
              <w:jc w:val="both"/>
              <w:rPr>
                <w:rFonts w:ascii="Arial" w:hAnsi="Arial" w:cs="Arial"/>
                <w:szCs w:val="18"/>
              </w:rPr>
            </w:pPr>
          </w:p>
        </w:tc>
        <w:tc>
          <w:tcPr>
            <w:tcW w:w="1268" w:type="dxa"/>
            <w:vMerge w:val="restart"/>
            <w:vAlign w:val="center"/>
          </w:tcPr>
          <w:p w14:paraId="03E121A0" w14:textId="77777777" w:rsidR="00EA347B" w:rsidRPr="001C5060" w:rsidRDefault="00EA347B" w:rsidP="0006783B">
            <w:pPr>
              <w:jc w:val="center"/>
              <w:rPr>
                <w:rFonts w:ascii="Arial" w:hAnsi="Arial" w:cs="Arial"/>
                <w:szCs w:val="18"/>
              </w:rPr>
            </w:pPr>
            <w:r w:rsidRPr="001C5060">
              <w:rPr>
                <w:rFonts w:ascii="Arial" w:hAnsi="Arial" w:cs="Arial"/>
                <w:szCs w:val="18"/>
              </w:rPr>
              <w:t>Absolute Horizontal Accuracy (95%)</w:t>
            </w:r>
          </w:p>
        </w:tc>
        <w:tc>
          <w:tcPr>
            <w:tcW w:w="2620" w:type="dxa"/>
            <w:gridSpan w:val="3"/>
            <w:vAlign w:val="center"/>
          </w:tcPr>
          <w:p w14:paraId="6ED3AEDE" w14:textId="77777777" w:rsidR="00EA347B" w:rsidRPr="001C5060" w:rsidRDefault="00EA347B" w:rsidP="0006783B">
            <w:pPr>
              <w:jc w:val="center"/>
              <w:rPr>
                <w:rFonts w:ascii="Arial" w:hAnsi="Arial" w:cs="Arial"/>
                <w:szCs w:val="18"/>
              </w:rPr>
            </w:pPr>
            <w:r w:rsidRPr="001C5060">
              <w:rPr>
                <w:rFonts w:ascii="Arial" w:hAnsi="Arial" w:cs="Arial"/>
                <w:szCs w:val="18"/>
              </w:rPr>
              <w:t>Integrity</w:t>
            </w:r>
          </w:p>
        </w:tc>
        <w:tc>
          <w:tcPr>
            <w:tcW w:w="1172" w:type="dxa"/>
            <w:vMerge w:val="restart"/>
            <w:vAlign w:val="center"/>
          </w:tcPr>
          <w:p w14:paraId="49E8803F" w14:textId="77777777" w:rsidR="00EA347B" w:rsidRPr="001C5060" w:rsidRDefault="00EA347B" w:rsidP="0006783B">
            <w:pPr>
              <w:jc w:val="center"/>
              <w:rPr>
                <w:rFonts w:ascii="Arial" w:hAnsi="Arial" w:cs="Arial"/>
                <w:szCs w:val="18"/>
              </w:rPr>
            </w:pPr>
            <w:r w:rsidRPr="001C5060">
              <w:rPr>
                <w:rFonts w:ascii="Arial" w:hAnsi="Arial" w:cs="Arial"/>
                <w:szCs w:val="18"/>
              </w:rPr>
              <w:t>Signal Availability</w:t>
            </w:r>
          </w:p>
          <w:p w14:paraId="778CC5A1" w14:textId="77777777" w:rsidR="00EA347B" w:rsidRPr="001C5060" w:rsidRDefault="00EA347B" w:rsidP="0006783B">
            <w:pPr>
              <w:jc w:val="center"/>
              <w:rPr>
                <w:rFonts w:ascii="Arial" w:hAnsi="Arial" w:cs="Arial"/>
                <w:szCs w:val="18"/>
              </w:rPr>
            </w:pPr>
            <w:r w:rsidRPr="00643CD2">
              <w:rPr>
                <w:rFonts w:ascii="Arial" w:hAnsi="Arial" w:cs="Arial"/>
                <w:szCs w:val="18"/>
              </w:rPr>
              <w:t>(2 years)</w:t>
            </w:r>
          </w:p>
        </w:tc>
        <w:tc>
          <w:tcPr>
            <w:tcW w:w="1072" w:type="dxa"/>
            <w:vMerge w:val="restart"/>
            <w:vAlign w:val="center"/>
          </w:tcPr>
          <w:p w14:paraId="6E869C09" w14:textId="77777777" w:rsidR="00EA347B" w:rsidRPr="001C5060" w:rsidRDefault="00EA347B" w:rsidP="0006783B">
            <w:pPr>
              <w:jc w:val="center"/>
              <w:rPr>
                <w:rFonts w:ascii="Arial" w:hAnsi="Arial" w:cs="Arial"/>
                <w:szCs w:val="18"/>
              </w:rPr>
            </w:pPr>
            <w:r w:rsidRPr="001C5060">
              <w:rPr>
                <w:rFonts w:ascii="Arial" w:hAnsi="Arial" w:cs="Arial"/>
                <w:szCs w:val="18"/>
              </w:rPr>
              <w:t>Continuity</w:t>
            </w:r>
          </w:p>
          <w:p w14:paraId="3D1CEA80" w14:textId="77777777" w:rsidR="00EA347B" w:rsidRPr="001C5060" w:rsidRDefault="00EA347B" w:rsidP="0006783B">
            <w:pPr>
              <w:jc w:val="center"/>
              <w:rPr>
                <w:rFonts w:ascii="Arial" w:hAnsi="Arial" w:cs="Arial"/>
                <w:szCs w:val="18"/>
              </w:rPr>
            </w:pPr>
            <w:r w:rsidRPr="001C5060">
              <w:rPr>
                <w:rFonts w:ascii="Arial" w:hAnsi="Arial" w:cs="Arial"/>
                <w:szCs w:val="18"/>
              </w:rPr>
              <w:t>(over 15 minutes)</w:t>
            </w:r>
          </w:p>
        </w:tc>
      </w:tr>
      <w:tr w:rsidR="00EA347B" w:rsidRPr="001C5060" w14:paraId="33C23369" w14:textId="77777777" w:rsidTr="0006783B">
        <w:trPr>
          <w:jc w:val="center"/>
        </w:trPr>
        <w:tc>
          <w:tcPr>
            <w:tcW w:w="1701" w:type="dxa"/>
            <w:tcBorders>
              <w:top w:val="nil"/>
              <w:bottom w:val="nil"/>
            </w:tcBorders>
            <w:vAlign w:val="center"/>
          </w:tcPr>
          <w:p w14:paraId="1DED251D" w14:textId="77777777" w:rsidR="00EA347B" w:rsidRPr="001C5060" w:rsidRDefault="00EA347B" w:rsidP="0006783B">
            <w:pPr>
              <w:jc w:val="center"/>
              <w:rPr>
                <w:rFonts w:ascii="Arial" w:hAnsi="Arial" w:cs="Arial"/>
                <w:szCs w:val="18"/>
              </w:rPr>
            </w:pPr>
          </w:p>
        </w:tc>
        <w:tc>
          <w:tcPr>
            <w:tcW w:w="1268" w:type="dxa"/>
            <w:vMerge/>
            <w:vAlign w:val="center"/>
          </w:tcPr>
          <w:p w14:paraId="2DB57FDC" w14:textId="77777777" w:rsidR="00EA347B" w:rsidRPr="001C5060" w:rsidRDefault="00EA347B" w:rsidP="0006783B">
            <w:pPr>
              <w:jc w:val="center"/>
              <w:rPr>
                <w:rFonts w:ascii="Arial" w:hAnsi="Arial" w:cs="Arial"/>
                <w:szCs w:val="18"/>
              </w:rPr>
            </w:pPr>
          </w:p>
        </w:tc>
        <w:tc>
          <w:tcPr>
            <w:tcW w:w="857" w:type="dxa"/>
            <w:vAlign w:val="center"/>
          </w:tcPr>
          <w:p w14:paraId="26F6E8D9" w14:textId="77777777" w:rsidR="00EA347B" w:rsidRPr="001C5060" w:rsidRDefault="00EA347B" w:rsidP="0006783B">
            <w:pPr>
              <w:jc w:val="center"/>
              <w:rPr>
                <w:rFonts w:ascii="Arial" w:hAnsi="Arial" w:cs="Arial"/>
                <w:szCs w:val="18"/>
              </w:rPr>
            </w:pPr>
            <w:r w:rsidRPr="001C5060">
              <w:rPr>
                <w:rFonts w:ascii="Arial" w:hAnsi="Arial" w:cs="Arial"/>
                <w:szCs w:val="18"/>
              </w:rPr>
              <w:t>Alert Limit</w:t>
            </w:r>
          </w:p>
        </w:tc>
        <w:tc>
          <w:tcPr>
            <w:tcW w:w="858" w:type="dxa"/>
            <w:vAlign w:val="center"/>
          </w:tcPr>
          <w:p w14:paraId="694FA313" w14:textId="77777777" w:rsidR="00EA347B" w:rsidRPr="001C5060" w:rsidRDefault="00EA347B" w:rsidP="0006783B">
            <w:pPr>
              <w:jc w:val="center"/>
              <w:rPr>
                <w:rFonts w:ascii="Arial" w:hAnsi="Arial" w:cs="Arial"/>
                <w:szCs w:val="18"/>
              </w:rPr>
            </w:pPr>
            <w:r w:rsidRPr="001C5060">
              <w:rPr>
                <w:rFonts w:ascii="Arial" w:hAnsi="Arial" w:cs="Arial"/>
                <w:szCs w:val="18"/>
              </w:rPr>
              <w:t>Time to Alarm</w:t>
            </w:r>
          </w:p>
        </w:tc>
        <w:tc>
          <w:tcPr>
            <w:tcW w:w="905" w:type="dxa"/>
            <w:vAlign w:val="center"/>
          </w:tcPr>
          <w:p w14:paraId="2F2FEC5D" w14:textId="77777777" w:rsidR="00EA347B" w:rsidRPr="001C5060" w:rsidRDefault="00EA347B" w:rsidP="0006783B">
            <w:pPr>
              <w:jc w:val="center"/>
              <w:rPr>
                <w:rFonts w:ascii="Arial" w:hAnsi="Arial" w:cs="Arial"/>
                <w:szCs w:val="18"/>
              </w:rPr>
            </w:pPr>
            <w:r w:rsidRPr="001C5060">
              <w:rPr>
                <w:rFonts w:ascii="Arial" w:hAnsi="Arial" w:cs="Arial"/>
                <w:szCs w:val="18"/>
              </w:rPr>
              <w:t>Integrity Risk</w:t>
            </w:r>
          </w:p>
        </w:tc>
        <w:tc>
          <w:tcPr>
            <w:tcW w:w="1172" w:type="dxa"/>
            <w:vMerge/>
          </w:tcPr>
          <w:p w14:paraId="5C8B8B2B" w14:textId="77777777" w:rsidR="00EA347B" w:rsidRPr="001C5060" w:rsidRDefault="00EA347B" w:rsidP="0006783B">
            <w:pPr>
              <w:jc w:val="both"/>
              <w:rPr>
                <w:rFonts w:ascii="Arial" w:hAnsi="Arial" w:cs="Arial"/>
                <w:szCs w:val="18"/>
              </w:rPr>
            </w:pPr>
          </w:p>
        </w:tc>
        <w:tc>
          <w:tcPr>
            <w:tcW w:w="1072" w:type="dxa"/>
            <w:vMerge/>
          </w:tcPr>
          <w:p w14:paraId="7066D339" w14:textId="77777777" w:rsidR="00EA347B" w:rsidRPr="001C5060" w:rsidRDefault="00EA347B" w:rsidP="0006783B">
            <w:pPr>
              <w:jc w:val="both"/>
              <w:rPr>
                <w:rFonts w:ascii="Arial" w:hAnsi="Arial" w:cs="Arial"/>
                <w:szCs w:val="18"/>
              </w:rPr>
            </w:pPr>
          </w:p>
        </w:tc>
      </w:tr>
      <w:tr w:rsidR="00EA347B" w:rsidRPr="001C5060" w14:paraId="189B60D8" w14:textId="77777777" w:rsidTr="0006783B">
        <w:trPr>
          <w:jc w:val="center"/>
        </w:trPr>
        <w:tc>
          <w:tcPr>
            <w:tcW w:w="1701" w:type="dxa"/>
            <w:tcBorders>
              <w:top w:val="nil"/>
            </w:tcBorders>
            <w:vAlign w:val="center"/>
          </w:tcPr>
          <w:p w14:paraId="3C3B06CE" w14:textId="77777777" w:rsidR="00EA347B" w:rsidRPr="001C5060" w:rsidRDefault="00EA347B" w:rsidP="0006783B">
            <w:pPr>
              <w:jc w:val="center"/>
              <w:rPr>
                <w:rFonts w:ascii="Arial" w:hAnsi="Arial" w:cs="Arial"/>
                <w:szCs w:val="18"/>
              </w:rPr>
            </w:pPr>
            <w:r w:rsidRPr="001C5060">
              <w:rPr>
                <w:rFonts w:ascii="Arial" w:hAnsi="Arial" w:cs="Arial"/>
                <w:szCs w:val="18"/>
              </w:rPr>
              <w:t>Area</w:t>
            </w:r>
          </w:p>
        </w:tc>
        <w:tc>
          <w:tcPr>
            <w:tcW w:w="1268" w:type="dxa"/>
            <w:vAlign w:val="center"/>
          </w:tcPr>
          <w:p w14:paraId="3F80E780" w14:textId="77777777" w:rsidR="00EA347B" w:rsidRPr="001C5060" w:rsidRDefault="00EA347B" w:rsidP="0006783B">
            <w:pPr>
              <w:jc w:val="center"/>
              <w:rPr>
                <w:rFonts w:ascii="Arial" w:hAnsi="Arial" w:cs="Arial"/>
                <w:szCs w:val="18"/>
              </w:rPr>
            </w:pPr>
            <w:r w:rsidRPr="001C5060">
              <w:rPr>
                <w:rFonts w:ascii="Arial" w:hAnsi="Arial" w:cs="Arial"/>
                <w:szCs w:val="18"/>
              </w:rPr>
              <w:t>m</w:t>
            </w:r>
          </w:p>
        </w:tc>
        <w:tc>
          <w:tcPr>
            <w:tcW w:w="857" w:type="dxa"/>
            <w:vAlign w:val="center"/>
          </w:tcPr>
          <w:p w14:paraId="4F3DEB19" w14:textId="77777777" w:rsidR="00EA347B" w:rsidRPr="001C5060" w:rsidRDefault="00EA347B" w:rsidP="0006783B">
            <w:pPr>
              <w:jc w:val="center"/>
              <w:rPr>
                <w:rFonts w:ascii="Arial" w:hAnsi="Arial" w:cs="Arial"/>
                <w:szCs w:val="18"/>
              </w:rPr>
            </w:pPr>
            <w:r w:rsidRPr="001C5060">
              <w:rPr>
                <w:rFonts w:ascii="Arial" w:hAnsi="Arial" w:cs="Arial"/>
                <w:szCs w:val="18"/>
              </w:rPr>
              <w:t>m</w:t>
            </w:r>
          </w:p>
        </w:tc>
        <w:tc>
          <w:tcPr>
            <w:tcW w:w="858" w:type="dxa"/>
            <w:vAlign w:val="center"/>
          </w:tcPr>
          <w:p w14:paraId="1570F082" w14:textId="77777777" w:rsidR="00EA347B" w:rsidRPr="001C5060" w:rsidRDefault="00EA347B" w:rsidP="0006783B">
            <w:pPr>
              <w:jc w:val="center"/>
              <w:rPr>
                <w:rFonts w:ascii="Arial" w:hAnsi="Arial" w:cs="Arial"/>
                <w:szCs w:val="18"/>
              </w:rPr>
            </w:pPr>
            <w:r w:rsidRPr="001C5060">
              <w:rPr>
                <w:rFonts w:ascii="Arial" w:hAnsi="Arial" w:cs="Arial"/>
                <w:szCs w:val="18"/>
              </w:rPr>
              <w:t>s</w:t>
            </w:r>
          </w:p>
        </w:tc>
        <w:tc>
          <w:tcPr>
            <w:tcW w:w="905" w:type="dxa"/>
            <w:vAlign w:val="center"/>
          </w:tcPr>
          <w:p w14:paraId="28C75736" w14:textId="77777777" w:rsidR="00EA347B" w:rsidRPr="001C5060" w:rsidRDefault="00EA347B" w:rsidP="0006783B">
            <w:pPr>
              <w:jc w:val="center"/>
              <w:rPr>
                <w:rFonts w:ascii="Arial" w:hAnsi="Arial" w:cs="Arial"/>
                <w:szCs w:val="18"/>
              </w:rPr>
            </w:pPr>
            <w:r w:rsidRPr="001C5060">
              <w:rPr>
                <w:rFonts w:ascii="Arial" w:hAnsi="Arial" w:cs="Arial"/>
                <w:szCs w:val="18"/>
              </w:rPr>
              <w:t>%</w:t>
            </w:r>
          </w:p>
        </w:tc>
        <w:tc>
          <w:tcPr>
            <w:tcW w:w="1172" w:type="dxa"/>
            <w:vAlign w:val="center"/>
          </w:tcPr>
          <w:p w14:paraId="02697E00" w14:textId="77777777" w:rsidR="00EA347B" w:rsidRPr="001C5060" w:rsidRDefault="00EA347B" w:rsidP="0006783B">
            <w:pPr>
              <w:jc w:val="center"/>
              <w:rPr>
                <w:rFonts w:ascii="Arial" w:hAnsi="Arial" w:cs="Arial"/>
                <w:szCs w:val="18"/>
              </w:rPr>
            </w:pPr>
            <w:r w:rsidRPr="001C5060">
              <w:rPr>
                <w:rFonts w:ascii="Arial" w:hAnsi="Arial" w:cs="Arial"/>
                <w:szCs w:val="18"/>
              </w:rPr>
              <w:t>%</w:t>
            </w:r>
          </w:p>
        </w:tc>
        <w:tc>
          <w:tcPr>
            <w:tcW w:w="1072" w:type="dxa"/>
            <w:vAlign w:val="center"/>
          </w:tcPr>
          <w:p w14:paraId="24136F23" w14:textId="77777777" w:rsidR="00EA347B" w:rsidRPr="001C5060" w:rsidRDefault="00EA347B" w:rsidP="0006783B">
            <w:pPr>
              <w:jc w:val="center"/>
              <w:rPr>
                <w:rFonts w:ascii="Arial" w:hAnsi="Arial" w:cs="Arial"/>
                <w:szCs w:val="18"/>
              </w:rPr>
            </w:pPr>
            <w:r w:rsidRPr="001C5060">
              <w:rPr>
                <w:rFonts w:ascii="Arial" w:hAnsi="Arial" w:cs="Arial"/>
                <w:szCs w:val="18"/>
              </w:rPr>
              <w:t>%</w:t>
            </w:r>
          </w:p>
        </w:tc>
      </w:tr>
      <w:tr w:rsidR="00EA347B" w:rsidRPr="001C5060" w14:paraId="0C214B0E" w14:textId="77777777" w:rsidTr="0006783B">
        <w:trPr>
          <w:jc w:val="center"/>
        </w:trPr>
        <w:tc>
          <w:tcPr>
            <w:tcW w:w="1701" w:type="dxa"/>
            <w:vAlign w:val="center"/>
          </w:tcPr>
          <w:p w14:paraId="1BDF01C2" w14:textId="77777777" w:rsidR="00EA347B" w:rsidRPr="001C5060" w:rsidRDefault="00EA347B" w:rsidP="0006783B">
            <w:pPr>
              <w:jc w:val="center"/>
              <w:rPr>
                <w:rFonts w:ascii="Arial" w:hAnsi="Arial" w:cs="Arial"/>
                <w:szCs w:val="18"/>
              </w:rPr>
            </w:pPr>
            <w:r w:rsidRPr="001C5060">
              <w:rPr>
                <w:rFonts w:ascii="Arial" w:hAnsi="Arial" w:cs="Arial"/>
                <w:szCs w:val="18"/>
              </w:rPr>
              <w:t>Ocean</w:t>
            </w:r>
          </w:p>
        </w:tc>
        <w:tc>
          <w:tcPr>
            <w:tcW w:w="1268" w:type="dxa"/>
            <w:vAlign w:val="center"/>
          </w:tcPr>
          <w:p w14:paraId="5553274C" w14:textId="77777777" w:rsidR="00EA347B" w:rsidRPr="001C5060" w:rsidRDefault="00EA347B" w:rsidP="0006783B">
            <w:pPr>
              <w:jc w:val="center"/>
              <w:rPr>
                <w:rFonts w:ascii="Arial" w:hAnsi="Arial" w:cs="Arial"/>
                <w:szCs w:val="18"/>
              </w:rPr>
            </w:pPr>
            <w:r w:rsidRPr="001C5060">
              <w:rPr>
                <w:rFonts w:ascii="Arial" w:hAnsi="Arial" w:cs="Arial"/>
                <w:szCs w:val="18"/>
                <w:u w:val="single"/>
              </w:rPr>
              <w:t>&lt;</w:t>
            </w:r>
            <w:r w:rsidRPr="001C5060">
              <w:rPr>
                <w:rFonts w:ascii="Arial" w:hAnsi="Arial" w:cs="Arial"/>
                <w:szCs w:val="18"/>
              </w:rPr>
              <w:t xml:space="preserve"> 100</w:t>
            </w:r>
          </w:p>
        </w:tc>
        <w:tc>
          <w:tcPr>
            <w:tcW w:w="857" w:type="dxa"/>
            <w:vAlign w:val="center"/>
          </w:tcPr>
          <w:p w14:paraId="721774CF" w14:textId="77777777" w:rsidR="00EA347B" w:rsidRPr="001C5060" w:rsidRDefault="00EA347B" w:rsidP="0006783B">
            <w:pPr>
              <w:jc w:val="center"/>
              <w:rPr>
                <w:rFonts w:ascii="Arial" w:hAnsi="Arial" w:cs="Arial"/>
                <w:szCs w:val="18"/>
              </w:rPr>
            </w:pPr>
            <w:r w:rsidRPr="001C5060">
              <w:rPr>
                <w:rFonts w:ascii="Arial" w:hAnsi="Arial" w:cs="Arial"/>
                <w:szCs w:val="18"/>
              </w:rPr>
              <w:t>N/A</w:t>
            </w:r>
            <w:r w:rsidRPr="001C5060" w:rsidDel="0077634A">
              <w:rPr>
                <w:rFonts w:ascii="Arial" w:hAnsi="Arial" w:cs="Arial"/>
                <w:szCs w:val="18"/>
              </w:rPr>
              <w:t xml:space="preserve"> </w:t>
            </w:r>
          </w:p>
        </w:tc>
        <w:tc>
          <w:tcPr>
            <w:tcW w:w="858" w:type="dxa"/>
            <w:vAlign w:val="center"/>
          </w:tcPr>
          <w:p w14:paraId="08E9201D" w14:textId="5684D4F2" w:rsidR="00EA347B" w:rsidRPr="001C5060" w:rsidRDefault="00EA347B" w:rsidP="0006783B">
            <w:pPr>
              <w:jc w:val="center"/>
              <w:rPr>
                <w:rFonts w:ascii="Arial" w:hAnsi="Arial" w:cs="Arial"/>
                <w:szCs w:val="18"/>
              </w:rPr>
            </w:pPr>
            <w:r w:rsidRPr="001C5060">
              <w:rPr>
                <w:rFonts w:ascii="Arial" w:hAnsi="Arial" w:cs="Arial"/>
                <w:szCs w:val="18"/>
              </w:rPr>
              <w:t>N/A</w:t>
            </w:r>
          </w:p>
        </w:tc>
        <w:tc>
          <w:tcPr>
            <w:tcW w:w="905" w:type="dxa"/>
            <w:vAlign w:val="center"/>
          </w:tcPr>
          <w:p w14:paraId="7281B633" w14:textId="77777777" w:rsidR="00EA347B" w:rsidRPr="001C5060" w:rsidRDefault="00EA347B" w:rsidP="0006783B">
            <w:pPr>
              <w:jc w:val="center"/>
              <w:rPr>
                <w:rFonts w:ascii="Arial" w:hAnsi="Arial" w:cs="Arial"/>
                <w:szCs w:val="18"/>
              </w:rPr>
            </w:pPr>
            <w:r w:rsidRPr="001C5060">
              <w:rPr>
                <w:rFonts w:ascii="Arial" w:hAnsi="Arial" w:cs="Arial"/>
                <w:szCs w:val="18"/>
              </w:rPr>
              <w:t>N/A</w:t>
            </w:r>
            <w:r w:rsidRPr="001C5060" w:rsidDel="0077634A">
              <w:rPr>
                <w:rFonts w:ascii="Arial" w:hAnsi="Arial" w:cs="Arial"/>
                <w:szCs w:val="18"/>
              </w:rPr>
              <w:t xml:space="preserve"> </w:t>
            </w:r>
          </w:p>
        </w:tc>
        <w:tc>
          <w:tcPr>
            <w:tcW w:w="1172" w:type="dxa"/>
            <w:vAlign w:val="center"/>
          </w:tcPr>
          <w:p w14:paraId="7537AF2C" w14:textId="77777777" w:rsidR="00EA347B" w:rsidRPr="001C5060" w:rsidRDefault="00EA347B" w:rsidP="0006783B">
            <w:pPr>
              <w:jc w:val="center"/>
              <w:rPr>
                <w:rFonts w:ascii="Arial" w:hAnsi="Arial" w:cs="Arial"/>
                <w:szCs w:val="18"/>
              </w:rPr>
            </w:pPr>
            <w:r w:rsidRPr="001C5060">
              <w:rPr>
                <w:rFonts w:ascii="Arial" w:hAnsi="Arial" w:cs="Arial"/>
                <w:szCs w:val="18"/>
                <w:u w:val="single"/>
              </w:rPr>
              <w:t>&gt;</w:t>
            </w:r>
            <w:r w:rsidRPr="001C5060">
              <w:rPr>
                <w:rFonts w:ascii="Arial" w:hAnsi="Arial" w:cs="Arial"/>
                <w:szCs w:val="18"/>
              </w:rPr>
              <w:t xml:space="preserve"> 99.8</w:t>
            </w:r>
          </w:p>
        </w:tc>
        <w:tc>
          <w:tcPr>
            <w:tcW w:w="1072" w:type="dxa"/>
            <w:vAlign w:val="center"/>
          </w:tcPr>
          <w:p w14:paraId="74481382" w14:textId="77777777" w:rsidR="00EA347B" w:rsidRPr="001C5060" w:rsidRDefault="00EA347B" w:rsidP="0006783B">
            <w:pPr>
              <w:jc w:val="center"/>
              <w:rPr>
                <w:rFonts w:ascii="Arial" w:hAnsi="Arial" w:cs="Arial"/>
                <w:szCs w:val="18"/>
              </w:rPr>
            </w:pPr>
            <w:r w:rsidRPr="001C5060">
              <w:rPr>
                <w:rFonts w:ascii="Arial" w:hAnsi="Arial" w:cs="Arial"/>
                <w:szCs w:val="18"/>
              </w:rPr>
              <w:t>N/A</w:t>
            </w:r>
          </w:p>
        </w:tc>
      </w:tr>
      <w:tr w:rsidR="00EA347B" w:rsidRPr="001C5060" w14:paraId="6EF89D6A" w14:textId="77777777" w:rsidTr="0006783B">
        <w:trPr>
          <w:jc w:val="center"/>
        </w:trPr>
        <w:tc>
          <w:tcPr>
            <w:tcW w:w="1701" w:type="dxa"/>
            <w:vAlign w:val="center"/>
          </w:tcPr>
          <w:p w14:paraId="7449100E" w14:textId="77777777" w:rsidR="00EA347B" w:rsidRPr="001C5060" w:rsidRDefault="00EA347B" w:rsidP="0006783B">
            <w:pPr>
              <w:jc w:val="center"/>
              <w:rPr>
                <w:rFonts w:ascii="Arial" w:hAnsi="Arial" w:cs="Arial"/>
                <w:szCs w:val="18"/>
              </w:rPr>
            </w:pPr>
            <w:r w:rsidRPr="001C5060">
              <w:rPr>
                <w:rFonts w:ascii="Arial" w:hAnsi="Arial" w:cs="Arial"/>
                <w:szCs w:val="18"/>
              </w:rPr>
              <w:t>Harbour entrances, harbour approaches and coastal waters</w:t>
            </w:r>
          </w:p>
        </w:tc>
        <w:tc>
          <w:tcPr>
            <w:tcW w:w="1268" w:type="dxa"/>
            <w:vAlign w:val="center"/>
          </w:tcPr>
          <w:p w14:paraId="31F9DD3A" w14:textId="77777777" w:rsidR="00EA347B" w:rsidRPr="001C5060" w:rsidRDefault="00EA347B" w:rsidP="0006783B">
            <w:pPr>
              <w:jc w:val="center"/>
              <w:rPr>
                <w:rFonts w:ascii="Arial" w:hAnsi="Arial" w:cs="Arial"/>
                <w:szCs w:val="18"/>
              </w:rPr>
            </w:pPr>
            <w:r w:rsidRPr="001C5060">
              <w:rPr>
                <w:rFonts w:ascii="Arial" w:hAnsi="Arial" w:cs="Arial"/>
                <w:szCs w:val="18"/>
                <w:u w:val="single"/>
              </w:rPr>
              <w:t>&lt;</w:t>
            </w:r>
            <w:r w:rsidRPr="001C5060">
              <w:rPr>
                <w:rFonts w:ascii="Arial" w:hAnsi="Arial" w:cs="Arial"/>
                <w:szCs w:val="18"/>
              </w:rPr>
              <w:t xml:space="preserve"> 10</w:t>
            </w:r>
          </w:p>
        </w:tc>
        <w:tc>
          <w:tcPr>
            <w:tcW w:w="857" w:type="dxa"/>
            <w:vAlign w:val="center"/>
          </w:tcPr>
          <w:p w14:paraId="59A8C286" w14:textId="77777777" w:rsidR="00EA347B" w:rsidRPr="001C5060" w:rsidRDefault="00EA347B" w:rsidP="0006783B">
            <w:pPr>
              <w:jc w:val="center"/>
              <w:rPr>
                <w:rFonts w:ascii="Arial" w:hAnsi="Arial" w:cs="Arial"/>
                <w:szCs w:val="18"/>
              </w:rPr>
            </w:pPr>
            <w:r w:rsidRPr="001C5060">
              <w:rPr>
                <w:rFonts w:ascii="Arial" w:hAnsi="Arial" w:cs="Arial"/>
                <w:szCs w:val="18"/>
              </w:rPr>
              <w:t>25</w:t>
            </w:r>
          </w:p>
        </w:tc>
        <w:tc>
          <w:tcPr>
            <w:tcW w:w="858" w:type="dxa"/>
            <w:vAlign w:val="center"/>
          </w:tcPr>
          <w:p w14:paraId="3A3B8152" w14:textId="70857AAB" w:rsidR="00EA347B" w:rsidRPr="001C5060" w:rsidRDefault="00EA347B" w:rsidP="0006783B">
            <w:pPr>
              <w:jc w:val="center"/>
              <w:rPr>
                <w:rFonts w:ascii="Arial" w:hAnsi="Arial" w:cs="Arial"/>
                <w:szCs w:val="18"/>
              </w:rPr>
            </w:pPr>
            <w:r w:rsidRPr="001C5060">
              <w:rPr>
                <w:rFonts w:ascii="Arial" w:hAnsi="Arial" w:cs="Arial"/>
                <w:szCs w:val="18"/>
              </w:rPr>
              <w:t>10</w:t>
            </w:r>
          </w:p>
        </w:tc>
        <w:tc>
          <w:tcPr>
            <w:tcW w:w="905" w:type="dxa"/>
            <w:vAlign w:val="center"/>
          </w:tcPr>
          <w:p w14:paraId="17DCFD2F" w14:textId="77777777" w:rsidR="00EA347B" w:rsidRPr="001C5060" w:rsidRDefault="00EA347B" w:rsidP="0006783B">
            <w:pPr>
              <w:jc w:val="center"/>
              <w:rPr>
                <w:rFonts w:ascii="Arial" w:hAnsi="Arial" w:cs="Arial"/>
                <w:szCs w:val="18"/>
              </w:rPr>
            </w:pPr>
            <w:r w:rsidRPr="001C5060">
              <w:rPr>
                <w:rFonts w:ascii="Arial" w:hAnsi="Arial" w:cs="Arial"/>
                <w:szCs w:val="18"/>
              </w:rPr>
              <w:t>1 x 10</w:t>
            </w:r>
            <w:r w:rsidRPr="001C5060">
              <w:rPr>
                <w:rFonts w:ascii="Arial" w:hAnsi="Arial" w:cs="Arial"/>
                <w:szCs w:val="18"/>
                <w:vertAlign w:val="superscript"/>
              </w:rPr>
              <w:t>-5</w:t>
            </w:r>
          </w:p>
        </w:tc>
        <w:tc>
          <w:tcPr>
            <w:tcW w:w="1172" w:type="dxa"/>
            <w:vAlign w:val="center"/>
          </w:tcPr>
          <w:p w14:paraId="13E9B81D" w14:textId="77777777" w:rsidR="00EA347B" w:rsidRPr="001C5060" w:rsidRDefault="00EA347B" w:rsidP="0006783B">
            <w:pPr>
              <w:jc w:val="center"/>
              <w:rPr>
                <w:rFonts w:ascii="Arial" w:hAnsi="Arial" w:cs="Arial"/>
                <w:szCs w:val="18"/>
              </w:rPr>
            </w:pPr>
            <w:r w:rsidRPr="001C5060">
              <w:rPr>
                <w:rFonts w:ascii="Arial" w:hAnsi="Arial" w:cs="Arial"/>
                <w:szCs w:val="18"/>
                <w:u w:val="single"/>
              </w:rPr>
              <w:t>&gt;</w:t>
            </w:r>
            <w:r w:rsidRPr="001C5060">
              <w:rPr>
                <w:rFonts w:ascii="Arial" w:hAnsi="Arial" w:cs="Arial"/>
                <w:szCs w:val="18"/>
              </w:rPr>
              <w:t xml:space="preserve"> 99.8</w:t>
            </w:r>
          </w:p>
        </w:tc>
        <w:tc>
          <w:tcPr>
            <w:tcW w:w="1072" w:type="dxa"/>
            <w:vAlign w:val="center"/>
          </w:tcPr>
          <w:p w14:paraId="0848E151" w14:textId="77777777" w:rsidR="00EA347B" w:rsidRPr="001C5060" w:rsidRDefault="00EA347B" w:rsidP="0006783B">
            <w:pPr>
              <w:jc w:val="center"/>
              <w:rPr>
                <w:rFonts w:ascii="Arial" w:hAnsi="Arial" w:cs="Arial"/>
                <w:szCs w:val="18"/>
              </w:rPr>
            </w:pPr>
            <w:r w:rsidRPr="001C5060">
              <w:rPr>
                <w:rFonts w:ascii="Arial" w:hAnsi="Arial" w:cs="Arial"/>
                <w:szCs w:val="18"/>
              </w:rPr>
              <w:t>99.97</w:t>
            </w:r>
          </w:p>
        </w:tc>
      </w:tr>
      <w:tr w:rsidR="00EA347B" w:rsidRPr="001C5060" w14:paraId="0D79C070" w14:textId="77777777" w:rsidTr="0006783B">
        <w:trPr>
          <w:jc w:val="center"/>
        </w:trPr>
        <w:tc>
          <w:tcPr>
            <w:tcW w:w="7833" w:type="dxa"/>
            <w:gridSpan w:val="7"/>
            <w:tcBorders>
              <w:left w:val="nil"/>
              <w:bottom w:val="nil"/>
              <w:right w:val="nil"/>
            </w:tcBorders>
            <w:vAlign w:val="center"/>
          </w:tcPr>
          <w:p w14:paraId="52BBE62A" w14:textId="440CCA4B" w:rsidR="00EA347B" w:rsidRPr="001C5060" w:rsidRDefault="00EA347B" w:rsidP="00721272">
            <w:pPr>
              <w:keepNext/>
              <w:tabs>
                <w:tab w:val="left" w:pos="0"/>
              </w:tabs>
              <w:jc w:val="both"/>
              <w:rPr>
                <w:rFonts w:ascii="Arial" w:hAnsi="Arial" w:cs="Arial"/>
                <w:szCs w:val="18"/>
              </w:rPr>
            </w:pPr>
          </w:p>
        </w:tc>
      </w:tr>
    </w:tbl>
    <w:p w14:paraId="12D840BD" w14:textId="72931777" w:rsidR="00E9408B" w:rsidRDefault="00296B1E" w:rsidP="00E9408B">
      <w:pPr>
        <w:pStyle w:val="BodyText"/>
      </w:pPr>
      <w:r w:rsidRPr="00296B1E">
        <w:t xml:space="preserve">Receiver equipment for GNSS systems intended for navigational purposes on ships with maximum speeds not exceeding 70 knots shall meet the minimum performance requirements outlined in </w:t>
      </w:r>
      <w:r>
        <w:fldChar w:fldCharType="begin"/>
      </w:r>
      <w:r>
        <w:instrText xml:space="preserve"> REF _Ref453911305 \r \h </w:instrText>
      </w:r>
      <w:r>
        <w:fldChar w:fldCharType="separate"/>
      </w:r>
      <w:r>
        <w:t>Table 1</w:t>
      </w:r>
      <w:r>
        <w:fldChar w:fldCharType="end"/>
      </w:r>
      <w:r w:rsidRPr="00296B1E">
        <w:t>.</w:t>
      </w:r>
    </w:p>
    <w:p w14:paraId="0D38410B" w14:textId="77777777" w:rsidR="00E9408B" w:rsidRDefault="00E9408B" w:rsidP="00E9408B">
      <w:pPr>
        <w:pStyle w:val="Heading3"/>
      </w:pPr>
      <w:bookmarkStart w:id="10" w:name="_Toc336181775"/>
      <w:r>
        <w:t>Requirements for a Backup Navigation System</w:t>
      </w:r>
      <w:bookmarkEnd w:id="10"/>
    </w:p>
    <w:p w14:paraId="4224072E" w14:textId="6DF40B5E" w:rsidR="00E9408B" w:rsidRDefault="00761F83" w:rsidP="00E9408B">
      <w:pPr>
        <w:pStyle w:val="BodyText"/>
      </w:pPr>
      <w:r>
        <w:t xml:space="preserve">As stated in </w:t>
      </w:r>
      <w:r>
        <w:fldChar w:fldCharType="begin"/>
      </w:r>
      <w:r>
        <w:instrText xml:space="preserve"> REF _Ref453940063 \r \h </w:instrText>
      </w:r>
      <w:r>
        <w:fldChar w:fldCharType="separate"/>
      </w:r>
      <w:r>
        <w:t>[4]</w:t>
      </w:r>
      <w:r>
        <w:fldChar w:fldCharType="end"/>
      </w:r>
      <w:r w:rsidR="00E9408B">
        <w:t>:</w:t>
      </w:r>
    </w:p>
    <w:p w14:paraId="7B3454C9" w14:textId="63832CC6" w:rsidR="00E9408B" w:rsidRDefault="00E9408B" w:rsidP="00E9408B">
      <w:pPr>
        <w:pStyle w:val="BodyText"/>
      </w:pPr>
      <w:r>
        <w:t>‘</w:t>
      </w:r>
      <w:r w:rsidR="00296B1E" w:rsidRPr="00296B1E">
        <w:t>Where the risk assessment concludes that a backup system (i.e. a system ensuring continued operation, but not necessarily with the full functionality of the primary system) is necessary, suggested minimum maritime user requirements (derived from IMO Resolution A.915(22)) for such a system are listed at Appendix A. It may however be impractical to expect backup systems to achieve some of these standards, such as global coverage in the ocean phase of navigation or metre level accuracy in the port phase. In these cases it might be necessary to navigate the ocean phase by dead-reckoning, or delay port manoeuvres until the primary navigation system is restored. The argument for a backup system may be dependent on the perceived threat to the primary system and the likely duration of primary system outages.</w:t>
      </w:r>
      <w:r>
        <w:t>’</w:t>
      </w:r>
    </w:p>
    <w:p w14:paraId="21A5A47F" w14:textId="5DEF7479" w:rsidR="00E9408B" w:rsidRDefault="0006783B" w:rsidP="00E9408B">
      <w:pPr>
        <w:pStyle w:val="BodyText"/>
      </w:pPr>
      <w:r>
        <w:t xml:space="preserve">For convenience </w:t>
      </w:r>
      <w:r>
        <w:fldChar w:fldCharType="begin"/>
      </w:r>
      <w:r>
        <w:instrText xml:space="preserve"> REF _Ref453865325 \r \h </w:instrText>
      </w:r>
      <w:r>
        <w:fldChar w:fldCharType="separate"/>
      </w:r>
      <w:r>
        <w:t>Table 2</w:t>
      </w:r>
      <w:r>
        <w:fldChar w:fldCharType="end"/>
      </w:r>
      <w:r w:rsidR="00E9408B">
        <w:t xml:space="preserve"> illustrates the user requirements for a backup system as outlined in </w:t>
      </w:r>
      <w:r w:rsidR="00E9408B" w:rsidRPr="00B30E51">
        <w:t xml:space="preserve">Appendix </w:t>
      </w:r>
      <w:r w:rsidR="00B30E51">
        <w:t>A</w:t>
      </w:r>
      <w:r w:rsidR="00761F83">
        <w:t xml:space="preserve"> of </w:t>
      </w:r>
      <w:r w:rsidR="00761F83">
        <w:fldChar w:fldCharType="begin"/>
      </w:r>
      <w:r w:rsidR="00761F83">
        <w:instrText xml:space="preserve"> REF _Ref453940063 \r \h </w:instrText>
      </w:r>
      <w:r w:rsidR="00761F83">
        <w:fldChar w:fldCharType="separate"/>
      </w:r>
      <w:r w:rsidR="00761F83">
        <w:t>[4]</w:t>
      </w:r>
      <w:r w:rsidR="00761F83">
        <w:fldChar w:fldCharType="end"/>
      </w:r>
      <w:r w:rsidR="00E9408B">
        <w:t>.</w:t>
      </w:r>
    </w:p>
    <w:p w14:paraId="6AA4712E" w14:textId="77777777" w:rsidR="00E9408B" w:rsidRDefault="00E9408B">
      <w:pPr>
        <w:spacing w:after="200" w:line="276" w:lineRule="auto"/>
        <w:rPr>
          <w:b/>
          <w:bCs/>
          <w:i/>
          <w:color w:val="575756"/>
          <w:sz w:val="22"/>
          <w:u w:val="single"/>
        </w:rPr>
      </w:pPr>
      <w:r>
        <w:br w:type="page"/>
      </w:r>
    </w:p>
    <w:p w14:paraId="4196D1C5" w14:textId="2491C03D" w:rsidR="00EA347B" w:rsidRDefault="00E9408B" w:rsidP="00E9408B">
      <w:pPr>
        <w:pStyle w:val="Tablecaption"/>
        <w:jc w:val="center"/>
      </w:pPr>
      <w:bookmarkStart w:id="11" w:name="_Ref453865325"/>
      <w:bookmarkStart w:id="12" w:name="_Toc336178216"/>
      <w:r w:rsidRPr="00E9408B">
        <w:t>Suggested minimum maritime user requirements for a backup system for general navigation</w:t>
      </w:r>
      <w:bookmarkEnd w:id="11"/>
      <w:r w:rsidR="00296B1E">
        <w:t xml:space="preserve"> </w:t>
      </w:r>
      <w:r w:rsidR="00296B1E" w:rsidRPr="00721272">
        <w:t>[IALA Recommendation R-129]</w:t>
      </w:r>
      <w:bookmarkEnd w:id="12"/>
    </w:p>
    <w:p w14:paraId="51FA4729" w14:textId="098F4AF6" w:rsidR="00EA347B" w:rsidRDefault="00296B1E" w:rsidP="00E9408B">
      <w:pPr>
        <w:pStyle w:val="BodyText"/>
        <w:jc w:val="center"/>
      </w:pPr>
      <w:r>
        <w:rPr>
          <w:noProof/>
          <w:lang w:eastAsia="en-GB"/>
        </w:rPr>
        <w:drawing>
          <wp:inline distT="0" distB="0" distL="0" distR="0" wp14:anchorId="593B8041" wp14:editId="0E889018">
            <wp:extent cx="6086731" cy="1972945"/>
            <wp:effectExtent l="0" t="0" r="9525"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9-20 at 4.53.59 PM.png"/>
                    <pic:cNvPicPr/>
                  </pic:nvPicPr>
                  <pic:blipFill>
                    <a:blip r:embed="rId24">
                      <a:extLst>
                        <a:ext uri="{28A0092B-C50C-407E-A947-70E740481C1C}">
                          <a14:useLocalDpi xmlns:a14="http://schemas.microsoft.com/office/drawing/2010/main" val="0"/>
                        </a:ext>
                      </a:extLst>
                    </a:blip>
                    <a:stretch>
                      <a:fillRect/>
                    </a:stretch>
                  </pic:blipFill>
                  <pic:spPr>
                    <a:xfrm>
                      <a:off x="0" y="0"/>
                      <a:ext cx="6086731" cy="1972945"/>
                    </a:xfrm>
                    <a:prstGeom prst="rect">
                      <a:avLst/>
                    </a:prstGeom>
                  </pic:spPr>
                </pic:pic>
              </a:graphicData>
            </a:graphic>
          </wp:inline>
        </w:drawing>
      </w:r>
    </w:p>
    <w:p w14:paraId="0DA8C2DA" w14:textId="77777777" w:rsidR="00296B1E" w:rsidRDefault="00296B1E" w:rsidP="00296B1E">
      <w:pPr>
        <w:pStyle w:val="BodyText"/>
      </w:pPr>
      <w:r>
        <w:t xml:space="preserve">There are two main voyage phases of interest to the eLoran user community; Port Approach Phase, and Coastal Phase. </w:t>
      </w:r>
    </w:p>
    <w:p w14:paraId="1E47D620" w14:textId="77777777" w:rsidR="00296B1E" w:rsidRDefault="00296B1E" w:rsidP="00296B1E">
      <w:pPr>
        <w:pStyle w:val="BodyText"/>
      </w:pPr>
      <w:r>
        <w:t xml:space="preserve">Port Approach Phase requires the highest achievable accuracy performance from eLoran, ~10 m (95%). This can only be achieved through bespoke Additional Secondary Factor (ASF) measurements and the installation and use of a Differential-Loran (DLoran) reference station at each port. </w:t>
      </w:r>
    </w:p>
    <w:p w14:paraId="44EE548E" w14:textId="77777777" w:rsidR="00296B1E" w:rsidRDefault="00296B1E" w:rsidP="00296B1E">
      <w:pPr>
        <w:pStyle w:val="BodyText"/>
      </w:pPr>
      <w:r>
        <w:t xml:space="preserve">Coastal Voyage Phase requires 100 m (95%) accuracy. This can be achieved by eLoran without the use of differential-Loran reference stations and by computer modelling ASF data over a wide area and then calibrating the data with a sparse set of measured ASF data, which may most conveniently be collected automatically by vessels going about their everyday business – we refer to these vessels as ‘vessels of convenience’. Coastal ASF maps have been shown to be able to provide positioning accuracy on the order of 30 to 50 m. </w:t>
      </w:r>
    </w:p>
    <w:p w14:paraId="736FA3C6" w14:textId="03838358" w:rsidR="00E9408B" w:rsidRDefault="00296B1E" w:rsidP="00E9408B">
      <w:pPr>
        <w:pStyle w:val="BodyText"/>
      </w:pPr>
      <w:r>
        <w:t xml:space="preserve">These two statements, made without explanation of the key technical terms at this stage, cover the foundation of maritime eLoran service provision and the rest of this document describes the motivation and background and the methodology required to achieve this performance with eLoran. </w:t>
      </w:r>
    </w:p>
    <w:p w14:paraId="1CEAC5EA" w14:textId="33F74631" w:rsidR="00E9408B" w:rsidRDefault="00E9408B" w:rsidP="00565D6B">
      <w:pPr>
        <w:pStyle w:val="Heading2"/>
      </w:pPr>
      <w:bookmarkStart w:id="13" w:name="_Toc336181776"/>
      <w:r>
        <w:t xml:space="preserve">An Overview of </w:t>
      </w:r>
      <w:r w:rsidR="00180492">
        <w:rPr>
          <w:caps w:val="0"/>
        </w:rPr>
        <w:t>e</w:t>
      </w:r>
      <w:r>
        <w:t>Loran</w:t>
      </w:r>
      <w:bookmarkEnd w:id="13"/>
    </w:p>
    <w:p w14:paraId="75B75388" w14:textId="77777777" w:rsidR="00E9408B" w:rsidRPr="00E9408B" w:rsidRDefault="00E9408B" w:rsidP="00E9408B">
      <w:pPr>
        <w:pStyle w:val="Heading2separationline"/>
      </w:pPr>
    </w:p>
    <w:p w14:paraId="125ABCB1" w14:textId="77777777" w:rsidR="00296B1E" w:rsidRDefault="00296B1E" w:rsidP="00296B1E">
      <w:pPr>
        <w:pStyle w:val="BodyText"/>
      </w:pPr>
      <w:r>
        <w:t xml:space="preserve">Enhanced Loran (eLoran) is a low-frequency, long range Terrestrial Radionavigation System, capable of providing positioning, navigation and timing (PNT) service for use by many modes of transport, including maritime.  eLoran transmits pulsed groundwave signals with a central frequency of 100kHz. This low frequency gives the signals their LOng RAnge Navigation capability from widely spaced transmitters. The receiver’s position is determined by the measurement of the times of arrival (TOA) (or pseudorange) of these pulses. </w:t>
      </w:r>
    </w:p>
    <w:p w14:paraId="3E057B23" w14:textId="77777777" w:rsidR="00296B1E" w:rsidRDefault="00296B1E" w:rsidP="00296B1E">
      <w:pPr>
        <w:pStyle w:val="BodyText"/>
      </w:pPr>
      <w:r>
        <w:t>Pseudoranges from at least three transmitters are required to be measured in order to determine a position solution by trilateration. Measuring more than three transmissions (preferably five) provides the user with RAIM (Receiver Autonomous Integrity Monitoring) capability in addition to positioning accuracy.</w:t>
      </w:r>
    </w:p>
    <w:p w14:paraId="4CFEA1C0" w14:textId="1F7CD3C5" w:rsidR="00E9408B" w:rsidRDefault="00296B1E" w:rsidP="00E9408B">
      <w:pPr>
        <w:pStyle w:val="BodyText"/>
      </w:pPr>
      <w:r>
        <w:t>An eLoran system includes the following elements:</w:t>
      </w:r>
    </w:p>
    <w:p w14:paraId="5F901D56" w14:textId="2F060F89" w:rsidR="00E9408B" w:rsidRDefault="00E9408B" w:rsidP="00E9408B">
      <w:pPr>
        <w:pStyle w:val="Bullet1"/>
      </w:pPr>
      <w:r>
        <w:t xml:space="preserve">Several eLoran transmitters broadcasting a UTC synchronised </w:t>
      </w:r>
      <w:r w:rsidR="00180492">
        <w:t xml:space="preserve">and standardised eLoran signal </w:t>
      </w:r>
      <w:r w:rsidR="00180492">
        <w:fldChar w:fldCharType="begin"/>
      </w:r>
      <w:r w:rsidR="00180492">
        <w:instrText xml:space="preserve"> REF _Ref453941277 \r \h </w:instrText>
      </w:r>
      <w:r w:rsidR="00180492">
        <w:fldChar w:fldCharType="separate"/>
      </w:r>
      <w:r w:rsidR="00180492">
        <w:t>[5]</w:t>
      </w:r>
      <w:r w:rsidR="00180492">
        <w:fldChar w:fldCharType="end"/>
      </w:r>
      <w:r w:rsidR="0006783B">
        <w:t>;</w:t>
      </w:r>
    </w:p>
    <w:p w14:paraId="36C25D3C" w14:textId="4DD2B54D" w:rsidR="00E9408B" w:rsidRDefault="00E9408B" w:rsidP="00E9408B">
      <w:pPr>
        <w:pStyle w:val="Bullet1"/>
      </w:pPr>
      <w:r>
        <w:t>The signal incorporates a data message channel (the Loran Data Channel)</w:t>
      </w:r>
      <w:r w:rsidR="00180492">
        <w:t xml:space="preserve">, which may take several forms </w:t>
      </w:r>
      <w:r w:rsidR="00180492">
        <w:fldChar w:fldCharType="begin"/>
      </w:r>
      <w:r w:rsidR="00180492">
        <w:instrText xml:space="preserve"> REF _Ref453941301 \r \h </w:instrText>
      </w:r>
      <w:r w:rsidR="00180492">
        <w:fldChar w:fldCharType="separate"/>
      </w:r>
      <w:r w:rsidR="00180492">
        <w:t>[6]</w:t>
      </w:r>
      <w:r w:rsidR="00180492">
        <w:fldChar w:fldCharType="end"/>
      </w:r>
      <w:r w:rsidR="00180492">
        <w:t xml:space="preserve">, </w:t>
      </w:r>
      <w:r w:rsidR="00180492">
        <w:fldChar w:fldCharType="begin"/>
      </w:r>
      <w:r w:rsidR="00180492">
        <w:instrText xml:space="preserve"> REF _Ref453941329 \r \h </w:instrText>
      </w:r>
      <w:r w:rsidR="00180492">
        <w:fldChar w:fldCharType="separate"/>
      </w:r>
      <w:r w:rsidR="00180492">
        <w:t>[7]</w:t>
      </w:r>
      <w:r w:rsidR="00180492">
        <w:fldChar w:fldCharType="end"/>
      </w:r>
      <w:r w:rsidR="0006783B">
        <w:t>;</w:t>
      </w:r>
    </w:p>
    <w:p w14:paraId="597F9D56" w14:textId="1B43116D" w:rsidR="00E9408B" w:rsidRDefault="00296B1E" w:rsidP="00E9408B">
      <w:pPr>
        <w:pStyle w:val="Bullet1"/>
      </w:pPr>
      <w:r w:rsidRPr="00296B1E">
        <w:t>An identified service area, in which the signal propagation characteristic, represented by Additional Secondary Factors (ASFs), have been measured or modelled through software and then calibrated</w:t>
      </w:r>
      <w:r w:rsidR="00180492">
        <w:t xml:space="preserve"> </w:t>
      </w:r>
      <w:r w:rsidR="00180492">
        <w:fldChar w:fldCharType="begin"/>
      </w:r>
      <w:r w:rsidR="00180492">
        <w:instrText xml:space="preserve"> REF _Ref453941348 \r \h </w:instrText>
      </w:r>
      <w:r w:rsidR="00180492">
        <w:fldChar w:fldCharType="separate"/>
      </w:r>
      <w:r w:rsidR="00180492">
        <w:t>[8]</w:t>
      </w:r>
      <w:r w:rsidR="00180492">
        <w:fldChar w:fldCharType="end"/>
      </w:r>
      <w:r w:rsidR="0006783B">
        <w:t>;</w:t>
      </w:r>
    </w:p>
    <w:p w14:paraId="30AE820E" w14:textId="4836CCB4" w:rsidR="0006783B" w:rsidRDefault="00E9408B" w:rsidP="00E9408B">
      <w:pPr>
        <w:pStyle w:val="Bullet1"/>
      </w:pPr>
      <w:r>
        <w:t>Where accuracy is required to support t</w:t>
      </w:r>
      <w:r w:rsidR="00180492">
        <w:t>he Port Approach Voyage Phase, D</w:t>
      </w:r>
      <w:r>
        <w:t>ifferential-Loran (DLoran) Referenc</w:t>
      </w:r>
      <w:r w:rsidR="0006783B">
        <w:t>e Stations should be installed;</w:t>
      </w:r>
    </w:p>
    <w:p w14:paraId="0FC3E495" w14:textId="094FBB01" w:rsidR="00E9408B" w:rsidRDefault="00E9408B" w:rsidP="0006783B">
      <w:pPr>
        <w:pStyle w:val="Bullet1text"/>
      </w:pPr>
      <w:r>
        <w:t xml:space="preserve">These calculate differential corrections, which are sent to the mariner via the Loran Data Channel for reception using the same eLoran receiver used </w:t>
      </w:r>
      <w:r w:rsidR="00180492">
        <w:t xml:space="preserve">for positioning </w:t>
      </w:r>
      <w:r w:rsidR="00180492">
        <w:fldChar w:fldCharType="begin"/>
      </w:r>
      <w:r w:rsidR="00180492">
        <w:instrText xml:space="preserve"> REF _Ref453941369 \r \h </w:instrText>
      </w:r>
      <w:r w:rsidR="00180492">
        <w:fldChar w:fldCharType="separate"/>
      </w:r>
      <w:r w:rsidR="00180492">
        <w:t>[9]</w:t>
      </w:r>
      <w:r w:rsidR="00180492">
        <w:fldChar w:fldCharType="end"/>
      </w:r>
      <w:r w:rsidR="00180492">
        <w:t xml:space="preserve">, </w:t>
      </w:r>
      <w:r w:rsidR="00180492">
        <w:fldChar w:fldCharType="begin"/>
      </w:r>
      <w:r w:rsidR="00180492">
        <w:instrText xml:space="preserve"> REF _Ref453941372 \r \h </w:instrText>
      </w:r>
      <w:r w:rsidR="00180492">
        <w:fldChar w:fldCharType="separate"/>
      </w:r>
      <w:r w:rsidR="00180492">
        <w:t>[10]</w:t>
      </w:r>
      <w:r w:rsidR="00180492">
        <w:fldChar w:fldCharType="end"/>
      </w:r>
      <w:r w:rsidR="0006783B">
        <w:t>;</w:t>
      </w:r>
    </w:p>
    <w:p w14:paraId="6924D0AA" w14:textId="77777777" w:rsidR="00E9408B" w:rsidRDefault="00E9408B" w:rsidP="00E9408B">
      <w:pPr>
        <w:pStyle w:val="Bullet1"/>
      </w:pPr>
      <w:r>
        <w:t>An infrastructure based integrity monitoring system that takes two main forms:</w:t>
      </w:r>
    </w:p>
    <w:p w14:paraId="4465EDDD" w14:textId="5654B8A6" w:rsidR="00E9408B" w:rsidRDefault="00E9408B" w:rsidP="00E9408B">
      <w:pPr>
        <w:pStyle w:val="Bullet2"/>
      </w:pPr>
      <w:r>
        <w:t>Alarms and alerts concerning the health and status of eLoran transmitters and their associated transmissions and the health and status of DLoran reference stations and their transmitted differential-corrections</w:t>
      </w:r>
      <w:r w:rsidR="0006783B">
        <w:t>;</w:t>
      </w:r>
    </w:p>
    <w:p w14:paraId="059C2865" w14:textId="77777777" w:rsidR="00CB5BA1" w:rsidRDefault="00CB5BA1" w:rsidP="00E9408B">
      <w:pPr>
        <w:pStyle w:val="Bullet2"/>
      </w:pPr>
      <w:r w:rsidRPr="00CB5BA1">
        <w:t xml:space="preserve">The capability to monitor the effects of solar weather is required to be installed in locations that are particularly prone to such effects (geomagnetic storms, proton events, coronal mass ejections etc.). </w:t>
      </w:r>
    </w:p>
    <w:p w14:paraId="6787D39C" w14:textId="60CDF8E3" w:rsidR="00CB5BA1" w:rsidRDefault="00CB5BA1" w:rsidP="00CB5BA1">
      <w:pPr>
        <w:pStyle w:val="Bullet2"/>
        <w:numPr>
          <w:ilvl w:val="0"/>
          <w:numId w:val="0"/>
        </w:numPr>
        <w:ind w:left="851"/>
        <w:jc w:val="both"/>
      </w:pPr>
      <w:r w:rsidRPr="00CB5BA1">
        <w:t>The effects on eLoran vary with the geomagnetic latitude of the user and the distance between the user and the transmitters. Integrity monitors of this kind remotely monitor the quality of the received signals and are able to interface to the Loran Data Channel in order to issue timely integrity warnings to the mariner. Integrity monitors may be co-located with DLoran Reference Stations where appropriate, however separate processing hardware may be required.</w:t>
      </w:r>
    </w:p>
    <w:p w14:paraId="483D8982" w14:textId="77777777" w:rsidR="00CB5BA1" w:rsidRDefault="00CB5BA1" w:rsidP="00E9408B">
      <w:pPr>
        <w:pStyle w:val="Bullet1"/>
      </w:pPr>
      <w:r w:rsidRPr="00CB5BA1">
        <w:t>A Control and Monitoring Centre, which provides a remote human/machine interface to the set of transmitters and/or DLoran reference stations deployed by the service provider. Its role is to control the system(s) and monitor alarm conditions</w:t>
      </w:r>
      <w:r>
        <w:t>;</w:t>
      </w:r>
    </w:p>
    <w:p w14:paraId="207A9DE5" w14:textId="77777777" w:rsidR="00CB5BA1" w:rsidRDefault="00CB5BA1" w:rsidP="00CB5BA1">
      <w:pPr>
        <w:pStyle w:val="Bullet1"/>
        <w:numPr>
          <w:ilvl w:val="0"/>
          <w:numId w:val="0"/>
        </w:numPr>
        <w:ind w:left="425"/>
        <w:jc w:val="both"/>
      </w:pPr>
      <w:r w:rsidRPr="00CB5BA1">
        <w:t>Control Centre personnel should have the power to deploy engineers to remedy any issues with equipment. It may be that the organisation that is responsible for the set of transmitters is not the same organisation that is responsible for the DLoran reference stations, in which case the eLoran transmitter Control/Monitor Centre may be separate from the DLoran Reference Station Control/Monitoring Centre</w:t>
      </w:r>
    </w:p>
    <w:p w14:paraId="4C8BD3D5" w14:textId="1B082652" w:rsidR="00E9408B" w:rsidRDefault="00E9408B" w:rsidP="00E9408B">
      <w:pPr>
        <w:pStyle w:val="Bullet1"/>
      </w:pPr>
      <w:r>
        <w:t>A data communications backbone is required for the various components of the system to communicate with their respective Control Centres, and to link DLoran reference stations with transmitters.</w:t>
      </w:r>
    </w:p>
    <w:p w14:paraId="2B4A6759" w14:textId="4C5E4FE8" w:rsidR="00E9408B" w:rsidRDefault="00CB5BA1" w:rsidP="00CB5BA1">
      <w:pPr>
        <w:pStyle w:val="Bullet1"/>
        <w:numPr>
          <w:ilvl w:val="0"/>
          <w:numId w:val="0"/>
        </w:numPr>
        <w:ind w:left="425"/>
        <w:jc w:val="both"/>
      </w:pPr>
      <w:r>
        <w:t>Such d</w:t>
      </w:r>
      <w:r w:rsidRPr="00CB5BA1">
        <w:t>ata communications include such items as control messages, differential correction information, integrity alerts, UTC time dissemination etc. The data backbone will usually be implemented using Internet Protocol, and may run on a private network, or via the public Internet. In the latter case it is appropriate to implement one or more Virtual Private Networks (VPN) for data security purposes.</w:t>
      </w:r>
    </w:p>
    <w:p w14:paraId="22B2E03F" w14:textId="77777777" w:rsidR="00CB5BA1" w:rsidRDefault="00CB5BA1" w:rsidP="00E9408B">
      <w:pPr>
        <w:pStyle w:val="Bullet1text"/>
      </w:pPr>
    </w:p>
    <w:p w14:paraId="606B9A6C" w14:textId="39A018F5" w:rsidR="00E9408B" w:rsidRDefault="0006783B" w:rsidP="00E9408B">
      <w:pPr>
        <w:pStyle w:val="BodyText"/>
      </w:pPr>
      <w:r>
        <w:rPr>
          <w:highlight w:val="yellow"/>
        </w:rPr>
        <w:fldChar w:fldCharType="begin"/>
      </w:r>
      <w:r>
        <w:instrText xml:space="preserve"> REF _Ref453865456 \r \h </w:instrText>
      </w:r>
      <w:r>
        <w:rPr>
          <w:highlight w:val="yellow"/>
        </w:rPr>
      </w:r>
      <w:r>
        <w:rPr>
          <w:highlight w:val="yellow"/>
        </w:rPr>
        <w:fldChar w:fldCharType="separate"/>
      </w:r>
      <w:r>
        <w:t>Figure 1</w:t>
      </w:r>
      <w:r>
        <w:rPr>
          <w:highlight w:val="yellow"/>
        </w:rPr>
        <w:fldChar w:fldCharType="end"/>
      </w:r>
      <w:r w:rsidR="00E9408B">
        <w:t xml:space="preserve"> illustrates an overview of the eLoran system for maritime applications.</w:t>
      </w:r>
    </w:p>
    <w:p w14:paraId="1B0FF9F4" w14:textId="77777777" w:rsidR="00E9408B" w:rsidRDefault="008432DD" w:rsidP="00E9408B">
      <w:pPr>
        <w:pStyle w:val="BodyText"/>
        <w:jc w:val="center"/>
      </w:pPr>
      <w:r w:rsidRPr="001C5060">
        <w:rPr>
          <w:rFonts w:ascii="Arial" w:hAnsi="Arial" w:cs="Arial"/>
          <w:noProof/>
          <w:lang w:eastAsia="en-GB"/>
        </w:rPr>
        <w:drawing>
          <wp:inline distT="0" distB="0" distL="0" distR="0" wp14:anchorId="155C153F" wp14:editId="08A7D8FF">
            <wp:extent cx="5095875" cy="3609975"/>
            <wp:effectExtent l="0" t="0" r="9525" b="9525"/>
            <wp:docPr id="4" name="Billede 4" descr="C:\Users\B002226\Desktop\eNAV-17\eloran_background_information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B002226\Desktop\eNAV-17\eloran_background_information_2.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95875" cy="3609975"/>
                    </a:xfrm>
                    <a:prstGeom prst="rect">
                      <a:avLst/>
                    </a:prstGeom>
                    <a:noFill/>
                    <a:ln>
                      <a:noFill/>
                    </a:ln>
                  </pic:spPr>
                </pic:pic>
              </a:graphicData>
            </a:graphic>
          </wp:inline>
        </w:drawing>
      </w:r>
    </w:p>
    <w:p w14:paraId="4EF4BB83" w14:textId="77777777" w:rsidR="008432DD" w:rsidRDefault="008432DD" w:rsidP="008432DD">
      <w:pPr>
        <w:pStyle w:val="Figurecaption"/>
        <w:jc w:val="center"/>
      </w:pPr>
      <w:bookmarkStart w:id="14" w:name="_Ref453865456"/>
      <w:bookmarkStart w:id="15" w:name="_Toc336178223"/>
      <w:r w:rsidRPr="008432DD">
        <w:t xml:space="preserve">The service architecture for eLoran and the components required. After ‘eLoran Definition Document’, V1.0, October 2007, </w:t>
      </w:r>
      <w:r>
        <w:t>International Loran Association</w:t>
      </w:r>
      <w:bookmarkEnd w:id="14"/>
      <w:bookmarkEnd w:id="15"/>
    </w:p>
    <w:p w14:paraId="1DCA816F" w14:textId="4AE4D0E8" w:rsidR="008432DD" w:rsidRDefault="00180492" w:rsidP="00565D6B">
      <w:pPr>
        <w:pStyle w:val="Heading2"/>
      </w:pPr>
      <w:bookmarkStart w:id="16" w:name="_Toc336181777"/>
      <w:r>
        <w:rPr>
          <w:caps w:val="0"/>
        </w:rPr>
        <w:t>e</w:t>
      </w:r>
      <w:r w:rsidR="008432DD">
        <w:t>Loran signal structure</w:t>
      </w:r>
      <w:bookmarkEnd w:id="16"/>
    </w:p>
    <w:p w14:paraId="7CD447ED" w14:textId="77777777" w:rsidR="008432DD" w:rsidRDefault="008432DD" w:rsidP="008432DD">
      <w:pPr>
        <w:pStyle w:val="Heading2separationline"/>
      </w:pPr>
    </w:p>
    <w:p w14:paraId="744C3E62" w14:textId="48F7CAD7" w:rsidR="00CB5BA1" w:rsidRDefault="00CB5BA1" w:rsidP="008432DD">
      <w:pPr>
        <w:pStyle w:val="BodyText"/>
      </w:pPr>
      <w:r>
        <w:rPr>
          <w:highlight w:val="yellow"/>
        </w:rPr>
        <w:fldChar w:fldCharType="begin"/>
      </w:r>
      <w:r>
        <w:instrText xml:space="preserve"> REF _Ref453865479 \r \h </w:instrText>
      </w:r>
      <w:r>
        <w:rPr>
          <w:highlight w:val="yellow"/>
        </w:rPr>
      </w:r>
      <w:r>
        <w:rPr>
          <w:highlight w:val="yellow"/>
        </w:rPr>
        <w:fldChar w:fldCharType="separate"/>
      </w:r>
      <w:r>
        <w:t>Figure 2</w:t>
      </w:r>
      <w:r>
        <w:rPr>
          <w:highlight w:val="yellow"/>
        </w:rPr>
        <w:fldChar w:fldCharType="end"/>
      </w:r>
      <w:r w:rsidRPr="00CB5BA1">
        <w:t xml:space="preserve"> shows the signal structure and frequency spectrum of the eLoran signal </w:t>
      </w:r>
      <w:r>
        <w:fldChar w:fldCharType="begin"/>
      </w:r>
      <w:r>
        <w:instrText xml:space="preserve"> REF _Ref453941277 \r \h </w:instrText>
      </w:r>
      <w:r>
        <w:fldChar w:fldCharType="separate"/>
      </w:r>
      <w:r>
        <w:t>[5]</w:t>
      </w:r>
      <w:r>
        <w:fldChar w:fldCharType="end"/>
      </w:r>
      <w:r w:rsidRPr="00CB5BA1">
        <w:t xml:space="preserve">. The figure is divided into three sections. In the top left of the diagram is shown the individual Loran pulse. It has a specially designed shape (given by the equation underneath the plot) with a centre frequency of 100 kHz. At such a low frequency the main mode of propagation is by a very stable radio frequency groundwave. The front edge of the pulse is carefully designed to provide high signal strength at the tracking point within a receiver, while the tracking point is early enough in the pulse to avoid early arriving skywave (an unwanted reflection of the groundwave pulse off the ionosphere). The pulse duration is approximately 250 µs. The tail of the pulse is not defined, however the transmitter suppresses it sufficiently to maintain 99% of the energy of the eLoran signal within the band 90 kHz to 110kHz as shown in the frequency plot in the top right of the figure.  </w:t>
      </w:r>
    </w:p>
    <w:p w14:paraId="4AC3CC72" w14:textId="6169BE8E" w:rsidR="00CB5BA1" w:rsidRDefault="00CB5BA1" w:rsidP="008432DD">
      <w:pPr>
        <w:pStyle w:val="BodyText"/>
        <w:rPr>
          <w:highlight w:val="yellow"/>
        </w:rPr>
      </w:pPr>
      <w:r w:rsidRPr="00CB5BA1">
        <w:t>A transmitter broadcasts a group of 8 of these ‘navigation’ pulses, transmitted at 1 millisecond spacing. The additional 9th pulse (actually in 10th pulse position!) shown in the Master pulse group in the diagram is now obsolete for eLoran, being a legacy of Loran-C. However</w:t>
      </w:r>
      <w:r>
        <w:t>,</w:t>
      </w:r>
      <w:r w:rsidRPr="00CB5BA1">
        <w:t xml:space="preserve"> 9th and 10th pulses may be added in order to implement the Loran Data Channel.</w:t>
      </w:r>
    </w:p>
    <w:p w14:paraId="76D84FAC" w14:textId="652D634F" w:rsidR="008432DD" w:rsidRDefault="008432DD" w:rsidP="008432DD">
      <w:pPr>
        <w:pStyle w:val="BodyText"/>
      </w:pPr>
    </w:p>
    <w:p w14:paraId="63756DFF" w14:textId="30C02C85" w:rsidR="008432DD" w:rsidRDefault="008432DD" w:rsidP="008432DD">
      <w:pPr>
        <w:pStyle w:val="BodyText"/>
      </w:pPr>
    </w:p>
    <w:p w14:paraId="2B09BADC" w14:textId="77777777" w:rsidR="008432DD" w:rsidRDefault="008432DD" w:rsidP="008432DD">
      <w:pPr>
        <w:pStyle w:val="BodyText"/>
        <w:jc w:val="center"/>
      </w:pPr>
      <w:r w:rsidRPr="00CF569F">
        <w:rPr>
          <w:noProof/>
          <w:lang w:eastAsia="en-GB"/>
        </w:rPr>
        <w:drawing>
          <wp:inline distT="0" distB="0" distL="0" distR="0" wp14:anchorId="2A3C7093" wp14:editId="6BB78B3F">
            <wp:extent cx="5690281" cy="4008729"/>
            <wp:effectExtent l="19050" t="19050" r="24765" b="11430"/>
            <wp:docPr id="17" name="Picture 1035" descr="E:\Figures\Loran\G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35" name="Picture 1035" descr="E:\Figures\Loran\GRI.jpg"/>
                    <pic:cNvPicPr>
                      <a:picLocks noChangeAspect="1" noChangeArrowheads="1"/>
                    </pic:cNvPicPr>
                  </pic:nvPicPr>
                  <pic:blipFill>
                    <a:blip r:embed="rId26" cstate="print"/>
                    <a:srcRect/>
                    <a:stretch>
                      <a:fillRect/>
                    </a:stretch>
                  </pic:blipFill>
                  <pic:spPr bwMode="auto">
                    <a:xfrm>
                      <a:off x="0" y="0"/>
                      <a:ext cx="5695470" cy="4012385"/>
                    </a:xfrm>
                    <a:prstGeom prst="rect">
                      <a:avLst/>
                    </a:prstGeom>
                    <a:noFill/>
                    <a:ln>
                      <a:solidFill>
                        <a:schemeClr val="tx1"/>
                      </a:solidFill>
                    </a:ln>
                  </pic:spPr>
                </pic:pic>
              </a:graphicData>
            </a:graphic>
          </wp:inline>
        </w:drawing>
      </w:r>
    </w:p>
    <w:p w14:paraId="2F5260FD" w14:textId="77777777" w:rsidR="008432DD" w:rsidRDefault="008432DD" w:rsidP="008432DD">
      <w:pPr>
        <w:pStyle w:val="Figurecaption"/>
        <w:jc w:val="center"/>
      </w:pPr>
      <w:bookmarkStart w:id="17" w:name="_Ref453865479"/>
      <w:bookmarkStart w:id="18" w:name="_Toc336178224"/>
      <w:r w:rsidRPr="008432DD">
        <w:t>eLoran signal structure and frequency spectrum</w:t>
      </w:r>
      <w:bookmarkEnd w:id="17"/>
      <w:bookmarkEnd w:id="18"/>
    </w:p>
    <w:p w14:paraId="1CAC90C3" w14:textId="16483881" w:rsidR="0014297B" w:rsidRDefault="0014297B" w:rsidP="00FE47C9">
      <w:pPr>
        <w:pStyle w:val="BodyText"/>
      </w:pPr>
      <w:r>
        <w:t xml:space="preserve">All eLoran transmitters transmit at the same frequency, so they cannot all transmit at the same time. </w:t>
      </w:r>
      <w:r w:rsidR="00FE47C9">
        <w:t xml:space="preserve"> </w:t>
      </w:r>
      <w:r>
        <w:t xml:space="preserve">Instead one transmitter, designated the </w:t>
      </w:r>
      <w:r w:rsidRPr="00FE47C9">
        <w:rPr>
          <w:b/>
        </w:rPr>
        <w:t>Master</w:t>
      </w:r>
      <w:r>
        <w:t xml:space="preserve">, transmits a group of pulses followed a set time later by one of several successive </w:t>
      </w:r>
      <w:r w:rsidRPr="00FE47C9">
        <w:rPr>
          <w:b/>
        </w:rPr>
        <w:t>Secondary</w:t>
      </w:r>
      <w:r>
        <w:t xml:space="preserve"> transmitters. </w:t>
      </w:r>
      <w:r w:rsidR="00FE47C9">
        <w:t xml:space="preserve"> </w:t>
      </w:r>
      <w:r>
        <w:t>The time delay between the Master transmission and a Secondary is called the Emission Delay (ED) of that Secondary.</w:t>
      </w:r>
      <w:r w:rsidR="00FE47C9">
        <w:t xml:space="preserve"> </w:t>
      </w:r>
      <w:r>
        <w:t xml:space="preserve"> The time interval between successive Master station transmissions within the same group is called the Group Repetition Interval (GRI), also sometimes referred to as the </w:t>
      </w:r>
      <w:r w:rsidR="00FE47C9">
        <w:t>‘</w:t>
      </w:r>
      <w:r>
        <w:t>rate</w:t>
      </w:r>
      <w:r w:rsidR="00FE47C9">
        <w:t>’.</w:t>
      </w:r>
    </w:p>
    <w:p w14:paraId="6BC345FB" w14:textId="36ECCD2F" w:rsidR="00CB5BA1" w:rsidRDefault="00FE47C9" w:rsidP="00FE47C9">
      <w:pPr>
        <w:pStyle w:val="BodyText"/>
      </w:pPr>
      <w:r>
        <w:t xml:space="preserve">A Secondary </w:t>
      </w:r>
      <w:r w:rsidR="000D7518">
        <w:t>transmitter’s</w:t>
      </w:r>
      <w:r w:rsidR="0014297B">
        <w:t xml:space="preserve"> Emission Delay includes the signal propagation delay between the Master and the given Secondary, and a Coding Delay (CD) intended to position the Secondary transmissions within the GRI such that nowhere in the coverage area do the transmissions overlap. </w:t>
      </w:r>
      <w:r>
        <w:t xml:space="preserve"> </w:t>
      </w:r>
      <w:r w:rsidR="0014297B">
        <w:t>Careful design of the GRI and selection of Coding Delays are</w:t>
      </w:r>
      <w:r w:rsidR="000D7518">
        <w:t xml:space="preserve"> a vital part of system design.</w:t>
      </w:r>
    </w:p>
    <w:p w14:paraId="726FA672" w14:textId="40515B4D" w:rsidR="00CB5BA1" w:rsidRDefault="0014297B" w:rsidP="00FE47C9">
      <w:pPr>
        <w:pStyle w:val="BodyText"/>
      </w:pPr>
      <w:r>
        <w:t xml:space="preserve">The pulses of each GRI have an alternating Phase Coding according to the diagram shown in the lower right of </w:t>
      </w:r>
      <w:r w:rsidR="0006783B">
        <w:rPr>
          <w:highlight w:val="yellow"/>
        </w:rPr>
        <w:fldChar w:fldCharType="begin"/>
      </w:r>
      <w:r w:rsidR="0006783B">
        <w:instrText xml:space="preserve"> REF _Ref453865479 \r \h </w:instrText>
      </w:r>
      <w:r w:rsidR="0006783B">
        <w:rPr>
          <w:highlight w:val="yellow"/>
        </w:rPr>
      </w:r>
      <w:r w:rsidR="0006783B">
        <w:rPr>
          <w:highlight w:val="yellow"/>
        </w:rPr>
        <w:fldChar w:fldCharType="separate"/>
      </w:r>
      <w:r w:rsidR="0006783B">
        <w:t>Figure 2</w:t>
      </w:r>
      <w:r w:rsidR="0006783B">
        <w:rPr>
          <w:highlight w:val="yellow"/>
        </w:rPr>
        <w:fldChar w:fldCharType="end"/>
      </w:r>
      <w:r>
        <w:t xml:space="preserve">, and the PC term in the equation. </w:t>
      </w:r>
      <w:r w:rsidR="000D7518">
        <w:t xml:space="preserve"> </w:t>
      </w:r>
      <w:r>
        <w:t>A Phase Code Interval (PCI) is made of up two GRIs (A and B) the phase coding of GRI A is different to that of GRI B.</w:t>
      </w:r>
      <w:r w:rsidR="000D7518">
        <w:t xml:space="preserve"> </w:t>
      </w:r>
      <w:r>
        <w:t xml:space="preserve"> A ‘+’ sign indicates a shift in phase of the pulse by 180</w:t>
      </w:r>
      <w:r w:rsidR="000D7518">
        <w:sym w:font="Symbol" w:char="F0B0"/>
      </w:r>
      <w:r>
        <w:t>, while a ‘-‘ indicates a 0 phase shift.</w:t>
      </w:r>
      <w:r w:rsidR="000D7518">
        <w:t xml:space="preserve"> </w:t>
      </w:r>
      <w:r>
        <w:t xml:space="preserve"> Phase coding is provided in order to mitigate the effects of long-delay, multi-hop skywave by employing corr</w:t>
      </w:r>
      <w:r w:rsidR="000D7518">
        <w:t>elators in the user’s receiver.</w:t>
      </w:r>
    </w:p>
    <w:p w14:paraId="70510F30" w14:textId="7CB3DF61" w:rsidR="0014297B" w:rsidRDefault="0006783B" w:rsidP="00FE47C9">
      <w:pPr>
        <w:pStyle w:val="BodyText"/>
      </w:pPr>
      <w:r>
        <w:rPr>
          <w:highlight w:val="yellow"/>
        </w:rPr>
        <w:fldChar w:fldCharType="begin"/>
      </w:r>
      <w:r>
        <w:instrText xml:space="preserve"> REF _Ref453865589 \r \h </w:instrText>
      </w:r>
      <w:r>
        <w:rPr>
          <w:highlight w:val="yellow"/>
        </w:rPr>
      </w:r>
      <w:r>
        <w:rPr>
          <w:highlight w:val="yellow"/>
        </w:rPr>
        <w:fldChar w:fldCharType="separate"/>
      </w:r>
      <w:r>
        <w:t>Figure 3</w:t>
      </w:r>
      <w:r>
        <w:rPr>
          <w:highlight w:val="yellow"/>
        </w:rPr>
        <w:fldChar w:fldCharType="end"/>
      </w:r>
      <w:r w:rsidR="0014297B">
        <w:t xml:space="preserve"> shows the ‘total’ spectrum of the eLoran signal (provided through computer modelling). The spectrum</w:t>
      </w:r>
      <w:r w:rsidR="00FE47C9">
        <w:t xml:space="preserve"> of the pulse shown in </w:t>
      </w:r>
      <w:r>
        <w:rPr>
          <w:highlight w:val="yellow"/>
        </w:rPr>
        <w:fldChar w:fldCharType="begin"/>
      </w:r>
      <w:r>
        <w:instrText xml:space="preserve"> REF _Ref453865479 \r \h </w:instrText>
      </w:r>
      <w:r>
        <w:rPr>
          <w:highlight w:val="yellow"/>
        </w:rPr>
      </w:r>
      <w:r>
        <w:rPr>
          <w:highlight w:val="yellow"/>
        </w:rPr>
        <w:fldChar w:fldCharType="separate"/>
      </w:r>
      <w:r>
        <w:t>Figure 2</w:t>
      </w:r>
      <w:r>
        <w:rPr>
          <w:highlight w:val="yellow"/>
        </w:rPr>
        <w:fldChar w:fldCharType="end"/>
      </w:r>
      <w:r>
        <w:t xml:space="preserve"> </w:t>
      </w:r>
      <w:r w:rsidR="0014297B">
        <w:t>is convoluted with the spectrum of the rate structure shown at the bottom of that figure. The effect of this rate st</w:t>
      </w:r>
      <w:r w:rsidR="00FE47C9">
        <w:t xml:space="preserve">ructure can be seen in </w:t>
      </w:r>
      <w:r>
        <w:rPr>
          <w:highlight w:val="yellow"/>
        </w:rPr>
        <w:fldChar w:fldCharType="begin"/>
      </w:r>
      <w:r>
        <w:instrText xml:space="preserve"> REF _Ref453865605 \r \h </w:instrText>
      </w:r>
      <w:r>
        <w:rPr>
          <w:highlight w:val="yellow"/>
        </w:rPr>
      </w:r>
      <w:r>
        <w:rPr>
          <w:highlight w:val="yellow"/>
        </w:rPr>
        <w:fldChar w:fldCharType="separate"/>
      </w:r>
      <w:r>
        <w:t>Figure 4</w:t>
      </w:r>
      <w:r>
        <w:rPr>
          <w:highlight w:val="yellow"/>
        </w:rPr>
        <w:fldChar w:fldCharType="end"/>
      </w:r>
      <w:r w:rsidR="0014297B">
        <w:t>, which shows that the eLoran spectrum is made up of a large number of finely separated spectral lines each separated by: 1/(2×GRI).</w:t>
      </w:r>
    </w:p>
    <w:p w14:paraId="04A18012" w14:textId="77777777" w:rsidR="00CB5BA1" w:rsidRDefault="00CB5BA1" w:rsidP="00FE47C9">
      <w:pPr>
        <w:pStyle w:val="BodyText"/>
      </w:pPr>
    </w:p>
    <w:p w14:paraId="065FA64D" w14:textId="5FEFE812" w:rsidR="008432DD" w:rsidRDefault="00FE47C9" w:rsidP="00FE47C9">
      <w:pPr>
        <w:jc w:val="center"/>
      </w:pPr>
      <w:r>
        <w:rPr>
          <w:noProof/>
          <w:lang w:eastAsia="en-GB"/>
        </w:rPr>
        <w:drawing>
          <wp:inline distT="0" distB="0" distL="0" distR="0" wp14:anchorId="11A6F008" wp14:editId="4C530F30">
            <wp:extent cx="4115084" cy="3271953"/>
            <wp:effectExtent l="0" t="0" r="0" b="50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21253" cy="3276858"/>
                    </a:xfrm>
                    <a:prstGeom prst="rect">
                      <a:avLst/>
                    </a:prstGeom>
                    <a:noFill/>
                    <a:ln>
                      <a:noFill/>
                    </a:ln>
                  </pic:spPr>
                </pic:pic>
              </a:graphicData>
            </a:graphic>
          </wp:inline>
        </w:drawing>
      </w:r>
    </w:p>
    <w:p w14:paraId="297A8BB1" w14:textId="0F1A3F49" w:rsidR="00FE47C9" w:rsidRDefault="00FE47C9" w:rsidP="00FE47C9">
      <w:pPr>
        <w:pStyle w:val="Figurecaption"/>
        <w:jc w:val="center"/>
      </w:pPr>
      <w:bookmarkStart w:id="19" w:name="_Ref453865589"/>
      <w:bookmarkStart w:id="20" w:name="_Toc336178225"/>
      <w:r w:rsidRPr="00FE47C9">
        <w:t>A model of the power spectrum of an eLoran signal</w:t>
      </w:r>
      <w:bookmarkEnd w:id="19"/>
      <w:bookmarkEnd w:id="20"/>
    </w:p>
    <w:p w14:paraId="3341C8FD" w14:textId="2F2DB94A" w:rsidR="00FE47C9" w:rsidRDefault="00FE47C9" w:rsidP="00FE47C9">
      <w:pPr>
        <w:pStyle w:val="BodyText"/>
        <w:jc w:val="center"/>
      </w:pPr>
      <w:r>
        <w:rPr>
          <w:noProof/>
          <w:lang w:eastAsia="en-GB"/>
        </w:rPr>
        <w:drawing>
          <wp:inline distT="0" distB="0" distL="0" distR="0" wp14:anchorId="082A1039" wp14:editId="50BD00FF">
            <wp:extent cx="4594557" cy="3496665"/>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96028" cy="3497784"/>
                    </a:xfrm>
                    <a:prstGeom prst="rect">
                      <a:avLst/>
                    </a:prstGeom>
                    <a:noFill/>
                    <a:ln>
                      <a:noFill/>
                    </a:ln>
                  </pic:spPr>
                </pic:pic>
              </a:graphicData>
            </a:graphic>
          </wp:inline>
        </w:drawing>
      </w:r>
    </w:p>
    <w:p w14:paraId="7DC868E6" w14:textId="4DE67343" w:rsidR="00FE47C9" w:rsidRPr="00FE47C9" w:rsidRDefault="00FE47C9" w:rsidP="00FE47C9">
      <w:pPr>
        <w:pStyle w:val="Figurecaption"/>
        <w:jc w:val="center"/>
      </w:pPr>
      <w:bookmarkStart w:id="21" w:name="_Ref453865605"/>
      <w:bookmarkStart w:id="22" w:name="_Toc336178226"/>
      <w:r w:rsidRPr="00FE47C9">
        <w:rPr>
          <w:rFonts w:cs="Arial"/>
        </w:rPr>
        <w:t>Zoomed in view of the power spectrum shown in Figure 3</w:t>
      </w:r>
      <w:bookmarkEnd w:id="21"/>
      <w:bookmarkEnd w:id="22"/>
    </w:p>
    <w:p w14:paraId="0C6D3B57" w14:textId="641827CE" w:rsidR="00FE47C9" w:rsidRDefault="00FE47C9" w:rsidP="00FE47C9">
      <w:pPr>
        <w:pStyle w:val="BodyText"/>
      </w:pPr>
      <w:r w:rsidRPr="00FE47C9">
        <w:t xml:space="preserve">Finally, </w:t>
      </w:r>
      <w:r w:rsidR="0006783B">
        <w:rPr>
          <w:highlight w:val="yellow"/>
        </w:rPr>
        <w:fldChar w:fldCharType="begin"/>
      </w:r>
      <w:r w:rsidR="0006783B">
        <w:instrText xml:space="preserve"> REF _Ref453865626 \r \h </w:instrText>
      </w:r>
      <w:r w:rsidR="0006783B">
        <w:rPr>
          <w:highlight w:val="yellow"/>
        </w:rPr>
      </w:r>
      <w:r w:rsidR="0006783B">
        <w:rPr>
          <w:highlight w:val="yellow"/>
        </w:rPr>
        <w:fldChar w:fldCharType="separate"/>
      </w:r>
      <w:r w:rsidR="0006783B">
        <w:t>Figure 5</w:t>
      </w:r>
      <w:r w:rsidR="0006783B">
        <w:rPr>
          <w:highlight w:val="yellow"/>
        </w:rPr>
        <w:fldChar w:fldCharType="end"/>
      </w:r>
      <w:r w:rsidRPr="00FE47C9">
        <w:t xml:space="preserve"> shows real-life measurements of the eLoran spectrum made using an eLoran receiver’s Fast Fourier Transform (FFT) algorithm. </w:t>
      </w:r>
      <w:r w:rsidR="00FF4C48">
        <w:t xml:space="preserve"> </w:t>
      </w:r>
      <w:r w:rsidRPr="00FE47C9">
        <w:t>The peaks seen in the spectrum are continuous wave interfering (CWI) signals appearing in and around the frequency band; the green bands are notch filters implemented by the receiver to mitigate this CWI.</w:t>
      </w:r>
    </w:p>
    <w:p w14:paraId="0C5F43DD" w14:textId="77777777" w:rsidR="00CB5BA1" w:rsidRDefault="00CB5BA1" w:rsidP="00FE47C9">
      <w:pPr>
        <w:pStyle w:val="BodyText"/>
      </w:pPr>
    </w:p>
    <w:p w14:paraId="558A2EC7" w14:textId="26F81784" w:rsidR="00FE47C9" w:rsidRDefault="00FF4C48" w:rsidP="00FF4C48">
      <w:pPr>
        <w:pStyle w:val="BodyText"/>
        <w:jc w:val="center"/>
      </w:pPr>
      <w:r w:rsidRPr="00D7156E">
        <w:rPr>
          <w:noProof/>
          <w:lang w:eastAsia="en-GB"/>
        </w:rPr>
        <w:drawing>
          <wp:inline distT="0" distB="0" distL="0" distR="0" wp14:anchorId="16AAF06F" wp14:editId="36D67EC2">
            <wp:extent cx="4649788" cy="2978150"/>
            <wp:effectExtent l="0" t="0" r="0" b="0"/>
            <wp:docPr id="192519" name="Picture 7" descr="E:\dLoran Reference Stn\ff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19" name="Picture 7" descr="E:\dLoran Reference Stn\fft.bmp"/>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649788" cy="297815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a:graphicData>
            </a:graphic>
          </wp:inline>
        </w:drawing>
      </w:r>
    </w:p>
    <w:p w14:paraId="31316EA5" w14:textId="2ED78D8C" w:rsidR="00FE47C9" w:rsidRDefault="00FF4C48" w:rsidP="00FF4C48">
      <w:pPr>
        <w:pStyle w:val="Figurecaption"/>
        <w:jc w:val="center"/>
      </w:pPr>
      <w:bookmarkStart w:id="23" w:name="_Ref453865626"/>
      <w:bookmarkStart w:id="24" w:name="_Toc336178227"/>
      <w:r w:rsidRPr="00FF4C48">
        <w:t>Real-life, off-air signal measurements</w:t>
      </w:r>
      <w:bookmarkEnd w:id="23"/>
      <w:bookmarkEnd w:id="24"/>
    </w:p>
    <w:p w14:paraId="506E8E6D" w14:textId="015F1AC0" w:rsidR="00FE47C9" w:rsidRDefault="00FF4C48" w:rsidP="00565D6B">
      <w:pPr>
        <w:pStyle w:val="Heading2"/>
      </w:pPr>
      <w:bookmarkStart w:id="25" w:name="_Toc336181778"/>
      <w:r>
        <w:t>Recommended reading</w:t>
      </w:r>
      <w:bookmarkEnd w:id="25"/>
    </w:p>
    <w:p w14:paraId="1501CE96" w14:textId="77777777" w:rsidR="00FF4C48" w:rsidRPr="00FF4C48" w:rsidRDefault="00FF4C48" w:rsidP="00FF4C48">
      <w:pPr>
        <w:pStyle w:val="Heading2separationline"/>
      </w:pPr>
    </w:p>
    <w:p w14:paraId="3C5AC74F" w14:textId="35DD6DE9" w:rsidR="00FE47C9" w:rsidRDefault="0006783B" w:rsidP="00FE47C9">
      <w:pPr>
        <w:pStyle w:val="BodyText"/>
      </w:pPr>
      <w:r>
        <w:rPr>
          <w:highlight w:val="yellow"/>
        </w:rPr>
        <w:fldChar w:fldCharType="begin"/>
      </w:r>
      <w:r>
        <w:instrText xml:space="preserve"> REF _Ref453865648 \r \h </w:instrText>
      </w:r>
      <w:r>
        <w:rPr>
          <w:highlight w:val="yellow"/>
        </w:rPr>
      </w:r>
      <w:r>
        <w:rPr>
          <w:highlight w:val="yellow"/>
        </w:rPr>
        <w:fldChar w:fldCharType="separate"/>
      </w:r>
      <w:r>
        <w:t>Table 3</w:t>
      </w:r>
      <w:r>
        <w:rPr>
          <w:highlight w:val="yellow"/>
        </w:rPr>
        <w:fldChar w:fldCharType="end"/>
      </w:r>
      <w:r w:rsidR="00FF4C48" w:rsidRPr="00FF4C48">
        <w:t xml:space="preserve"> contains a list of standards and other documentation that should be considered to be ‘required reading’ by a service provider intending to provide eLoran services, and as background to the understanding of the implications of the rest of this IALA Guideline. </w:t>
      </w:r>
      <w:r w:rsidR="00FF4C48">
        <w:t xml:space="preserve"> </w:t>
      </w:r>
      <w:r w:rsidR="00FF4C48" w:rsidRPr="00FF4C48">
        <w:t xml:space="preserve">Other references and relevant background reading can be found in Section </w:t>
      </w:r>
      <w:r w:rsidR="000D7518">
        <w:rPr>
          <w:highlight w:val="yellow"/>
        </w:rPr>
        <w:fldChar w:fldCharType="begin"/>
      </w:r>
      <w:r w:rsidR="000D7518">
        <w:instrText xml:space="preserve"> REF _Ref453942283 \r \h </w:instrText>
      </w:r>
      <w:r w:rsidR="000D7518">
        <w:rPr>
          <w:highlight w:val="yellow"/>
        </w:rPr>
      </w:r>
      <w:r w:rsidR="000D7518">
        <w:rPr>
          <w:highlight w:val="yellow"/>
        </w:rPr>
        <w:fldChar w:fldCharType="separate"/>
      </w:r>
      <w:r w:rsidR="000D7518">
        <w:t>5</w:t>
      </w:r>
      <w:r w:rsidR="000D7518">
        <w:rPr>
          <w:highlight w:val="yellow"/>
        </w:rPr>
        <w:fldChar w:fldCharType="end"/>
      </w:r>
      <w:r w:rsidR="00FF4C48" w:rsidRPr="00FF4C48">
        <w:t xml:space="preserve"> of this document.</w:t>
      </w:r>
    </w:p>
    <w:p w14:paraId="019D0821" w14:textId="4595E473" w:rsidR="00FE47C9" w:rsidRDefault="00FF4C48" w:rsidP="00FF4C48">
      <w:pPr>
        <w:pStyle w:val="Tablecaption"/>
        <w:jc w:val="center"/>
      </w:pPr>
      <w:bookmarkStart w:id="26" w:name="_Ref453865648"/>
      <w:bookmarkStart w:id="27" w:name="_Toc336178217"/>
      <w:r w:rsidRPr="00FF4C48">
        <w:t>eLoran required reading for service providers</w:t>
      </w:r>
      <w:bookmarkEnd w:id="26"/>
      <w:bookmarkEnd w:id="27"/>
    </w:p>
    <w:tbl>
      <w:tblPr>
        <w:tblStyle w:val="TableGrid"/>
        <w:tblW w:w="9067" w:type="dxa"/>
        <w:jc w:val="center"/>
        <w:tblLook w:val="04A0" w:firstRow="1" w:lastRow="0" w:firstColumn="1" w:lastColumn="0" w:noHBand="0" w:noVBand="1"/>
      </w:tblPr>
      <w:tblGrid>
        <w:gridCol w:w="2972"/>
        <w:gridCol w:w="6095"/>
      </w:tblGrid>
      <w:tr w:rsidR="00FF4C48" w14:paraId="07D845FD" w14:textId="77777777" w:rsidTr="00FF4C48">
        <w:trPr>
          <w:jc w:val="center"/>
        </w:trPr>
        <w:tc>
          <w:tcPr>
            <w:tcW w:w="2972" w:type="dxa"/>
          </w:tcPr>
          <w:p w14:paraId="126A6DC2" w14:textId="77777777" w:rsidR="00FF4C48" w:rsidRPr="00B340BE" w:rsidRDefault="00FF4C48" w:rsidP="00FF4C48">
            <w:pPr>
              <w:pStyle w:val="Tableheading"/>
            </w:pPr>
            <w:r w:rsidRPr="00B340BE">
              <w:t>Topic</w:t>
            </w:r>
          </w:p>
        </w:tc>
        <w:tc>
          <w:tcPr>
            <w:tcW w:w="6095" w:type="dxa"/>
          </w:tcPr>
          <w:p w14:paraId="1801604E" w14:textId="77777777" w:rsidR="00FF4C48" w:rsidRPr="00B340BE" w:rsidRDefault="00FF4C48" w:rsidP="00FF4C48">
            <w:pPr>
              <w:pStyle w:val="Tableheading"/>
            </w:pPr>
            <w:r w:rsidRPr="00B340BE">
              <w:t>Document</w:t>
            </w:r>
            <w:r>
              <w:t>(s)</w:t>
            </w:r>
          </w:p>
        </w:tc>
      </w:tr>
      <w:tr w:rsidR="00FF4C48" w14:paraId="7676248A" w14:textId="77777777" w:rsidTr="00FF4C48">
        <w:trPr>
          <w:jc w:val="center"/>
        </w:trPr>
        <w:tc>
          <w:tcPr>
            <w:tcW w:w="2972" w:type="dxa"/>
          </w:tcPr>
          <w:p w14:paraId="0F01B07D" w14:textId="77777777" w:rsidR="00FF4C48" w:rsidRPr="00B340BE" w:rsidRDefault="00FF4C48" w:rsidP="00FF4C48">
            <w:pPr>
              <w:pStyle w:val="Tabletext"/>
              <w:rPr>
                <w:b/>
              </w:rPr>
            </w:pPr>
            <w:r w:rsidRPr="00286B4F">
              <w:t>eLoran evolution and recommendations</w:t>
            </w:r>
          </w:p>
        </w:tc>
        <w:tc>
          <w:tcPr>
            <w:tcW w:w="6095" w:type="dxa"/>
          </w:tcPr>
          <w:p w14:paraId="4EDC5A04" w14:textId="77777777" w:rsidR="00FF4C48" w:rsidRPr="00B340BE" w:rsidRDefault="00FF4C48" w:rsidP="00FF4C48">
            <w:pPr>
              <w:pStyle w:val="Tabletext"/>
              <w:rPr>
                <w:b/>
              </w:rPr>
            </w:pPr>
            <w:r>
              <w:rPr>
                <w:lang w:val="pt-PT"/>
              </w:rPr>
              <w:t>‘</w:t>
            </w:r>
            <w:r w:rsidRPr="00286B4F">
              <w:rPr>
                <w:lang w:val="pt-PT"/>
              </w:rPr>
              <w:t>Loran’s Capability to Mitigate the Impact of a GPS Outage on GPS Position, Na</w:t>
            </w:r>
            <w:r>
              <w:rPr>
                <w:lang w:val="pt-PT"/>
              </w:rPr>
              <w:t xml:space="preserve">vigation, and Time Applications’, </w:t>
            </w:r>
            <w:r w:rsidRPr="00286B4F">
              <w:rPr>
                <w:lang w:val="pt-PT"/>
              </w:rPr>
              <w:t xml:space="preserve"> Prepared for the Federal Aviation Administration Vice President </w:t>
            </w:r>
            <w:r>
              <w:rPr>
                <w:lang w:val="pt-PT"/>
              </w:rPr>
              <w:t>f</w:t>
            </w:r>
            <w:r w:rsidRPr="00286B4F">
              <w:rPr>
                <w:lang w:val="pt-PT"/>
              </w:rPr>
              <w:t>or Technical Operations Navigation Services Directorate</w:t>
            </w:r>
            <w:r>
              <w:rPr>
                <w:lang w:val="pt-PT"/>
              </w:rPr>
              <w:t xml:space="preserve">, </w:t>
            </w:r>
            <w:r w:rsidRPr="00286B4F">
              <w:rPr>
                <w:lang w:val="pt-PT"/>
              </w:rPr>
              <w:t>March 2004</w:t>
            </w:r>
          </w:p>
        </w:tc>
      </w:tr>
      <w:tr w:rsidR="00FF4C48" w14:paraId="13746C0A" w14:textId="77777777" w:rsidTr="00FF4C48">
        <w:trPr>
          <w:jc w:val="center"/>
        </w:trPr>
        <w:tc>
          <w:tcPr>
            <w:tcW w:w="2972" w:type="dxa"/>
          </w:tcPr>
          <w:p w14:paraId="2D64C136" w14:textId="77777777" w:rsidR="00FF4C48" w:rsidRPr="00B340BE" w:rsidRDefault="00FF4C48" w:rsidP="00FF4C48">
            <w:pPr>
              <w:pStyle w:val="Tabletext"/>
            </w:pPr>
            <w:r w:rsidRPr="00B340BE">
              <w:t>System Definition</w:t>
            </w:r>
          </w:p>
        </w:tc>
        <w:tc>
          <w:tcPr>
            <w:tcW w:w="6095" w:type="dxa"/>
          </w:tcPr>
          <w:p w14:paraId="0D5510DB" w14:textId="14199ECB" w:rsidR="00FF4C48" w:rsidRPr="00B340BE" w:rsidRDefault="00FF4C48" w:rsidP="00FF4C48">
            <w:pPr>
              <w:pStyle w:val="Tabletext"/>
              <w:rPr>
                <w:b/>
              </w:rPr>
            </w:pPr>
            <w:r w:rsidRPr="00B340BE">
              <w:rPr>
                <w:lang w:val="pt-PT"/>
              </w:rPr>
              <w:t>Enhanced Loran (</w:t>
            </w:r>
            <w:r w:rsidRPr="00B340BE">
              <w:rPr>
                <w:i/>
                <w:iCs/>
                <w:lang w:val="pt-PT"/>
              </w:rPr>
              <w:t>eLoran</w:t>
            </w:r>
            <w:r w:rsidRPr="00B340BE">
              <w:rPr>
                <w:lang w:val="pt-PT"/>
              </w:rPr>
              <w:t>) Definition Document, In</w:t>
            </w:r>
            <w:r w:rsidR="00220D95">
              <w:rPr>
                <w:lang w:val="pt-PT"/>
              </w:rPr>
              <w:t xml:space="preserve">ternational Loran Association, </w:t>
            </w:r>
            <w:r w:rsidRPr="00B340BE">
              <w:rPr>
                <w:lang w:val="pt-PT"/>
              </w:rPr>
              <w:t xml:space="preserve">2007 </w:t>
            </w:r>
          </w:p>
        </w:tc>
      </w:tr>
      <w:tr w:rsidR="00FF4C48" w14:paraId="10D11B07" w14:textId="77777777" w:rsidTr="00FF4C48">
        <w:trPr>
          <w:jc w:val="center"/>
        </w:trPr>
        <w:tc>
          <w:tcPr>
            <w:tcW w:w="2972" w:type="dxa"/>
          </w:tcPr>
          <w:p w14:paraId="7461843C" w14:textId="77777777" w:rsidR="00FF4C48" w:rsidRDefault="00FF4C48" w:rsidP="00FF4C48">
            <w:pPr>
              <w:pStyle w:val="Tabletext"/>
            </w:pPr>
            <w:r>
              <w:t>eLoran Signal Specification</w:t>
            </w:r>
          </w:p>
        </w:tc>
        <w:tc>
          <w:tcPr>
            <w:tcW w:w="6095" w:type="dxa"/>
          </w:tcPr>
          <w:p w14:paraId="5C1AF25F" w14:textId="77777777" w:rsidR="00FF4C48" w:rsidRPr="00B340BE" w:rsidRDefault="00FF4C48" w:rsidP="00FF4C48">
            <w:pPr>
              <w:pStyle w:val="Tabletext"/>
            </w:pPr>
            <w:r w:rsidRPr="00B340BE">
              <w:t>Enhanced Loran (eLoran) LORIPP/LORAPP Draft Specification of the eLoran System, Rev. 4.0</w:t>
            </w:r>
          </w:p>
        </w:tc>
      </w:tr>
      <w:tr w:rsidR="00FF4C48" w14:paraId="0AD6158C" w14:textId="77777777" w:rsidTr="00FF4C48">
        <w:trPr>
          <w:jc w:val="center"/>
        </w:trPr>
        <w:tc>
          <w:tcPr>
            <w:tcW w:w="2972" w:type="dxa"/>
          </w:tcPr>
          <w:p w14:paraId="4106A054" w14:textId="77777777" w:rsidR="00FF4C48" w:rsidRDefault="00FF4C48" w:rsidP="00FF4C48">
            <w:pPr>
              <w:pStyle w:val="Tabletext"/>
            </w:pPr>
            <w:r>
              <w:t>Receiver Minimum Performance Specifications</w:t>
            </w:r>
          </w:p>
        </w:tc>
        <w:tc>
          <w:tcPr>
            <w:tcW w:w="6095" w:type="dxa"/>
          </w:tcPr>
          <w:p w14:paraId="3641869D" w14:textId="77777777" w:rsidR="00FF4C48" w:rsidRDefault="00FF4C48" w:rsidP="00FF4C48">
            <w:pPr>
              <w:pStyle w:val="Tabletext"/>
            </w:pPr>
            <w:r w:rsidRPr="00B340BE">
              <w:t>Minimum Performance Standards for Marine Loran Receiving Equipment, RTCM Special Committee 127</w:t>
            </w:r>
          </w:p>
        </w:tc>
      </w:tr>
      <w:tr w:rsidR="00FF4C48" w14:paraId="32FD736A" w14:textId="77777777" w:rsidTr="00FF4C48">
        <w:trPr>
          <w:jc w:val="center"/>
        </w:trPr>
        <w:tc>
          <w:tcPr>
            <w:tcW w:w="2972" w:type="dxa"/>
          </w:tcPr>
          <w:p w14:paraId="52054D89" w14:textId="77777777" w:rsidR="00FF4C48" w:rsidRDefault="00FF4C48" w:rsidP="00FF4C48">
            <w:pPr>
              <w:pStyle w:val="Tabletext"/>
            </w:pPr>
            <w:r>
              <w:t>Loran Data Channel</w:t>
            </w:r>
          </w:p>
        </w:tc>
        <w:tc>
          <w:tcPr>
            <w:tcW w:w="6095" w:type="dxa"/>
          </w:tcPr>
          <w:p w14:paraId="307C6B05" w14:textId="77777777" w:rsidR="00FF4C48" w:rsidRPr="000F7120" w:rsidRDefault="00FF4C48" w:rsidP="00FF4C48">
            <w:pPr>
              <w:pStyle w:val="Tabletext"/>
            </w:pPr>
            <w:r w:rsidRPr="007170D6">
              <w:t>Tri-State (e.g. Eurofix)</w:t>
            </w:r>
            <w:r w:rsidRPr="000F7120">
              <w:t xml:space="preserve"> - ITU-R Recommendation M.589-2*, Technical characteristics of methods of data transmission and interference protection for radionavigation services in the frequency bands between 70 and 130 kHz</w:t>
            </w:r>
          </w:p>
          <w:p w14:paraId="30226806" w14:textId="0ACE62A8" w:rsidR="00FF4C48" w:rsidRPr="0076019C" w:rsidRDefault="00FF4C48" w:rsidP="00FF4C48">
            <w:pPr>
              <w:pStyle w:val="Tabletext"/>
            </w:pPr>
            <w:r w:rsidRPr="007170D6">
              <w:t>9</w:t>
            </w:r>
            <w:r w:rsidRPr="007170D6">
              <w:rPr>
                <w:vertAlign w:val="superscript"/>
              </w:rPr>
              <w:t>th</w:t>
            </w:r>
            <w:r w:rsidRPr="007170D6">
              <w:t xml:space="preserve"> Pulse</w:t>
            </w:r>
            <w:r w:rsidRPr="000F7120">
              <w:t xml:space="preserve"> - ‘E</w:t>
            </w:r>
            <w:r w:rsidRPr="007170D6">
              <w:t>nhanced</w:t>
            </w:r>
            <w:r w:rsidRPr="0076019C">
              <w:t xml:space="preserve"> Loran for Maritime Harbor Entrance and Approach</w:t>
            </w:r>
            <w:r>
              <w:t>’</w:t>
            </w:r>
            <w:r w:rsidRPr="0076019C">
              <w:t xml:space="preserve">, Benjamin Peterson </w:t>
            </w:r>
            <w:r>
              <w:rPr>
                <w:i/>
              </w:rPr>
              <w:t xml:space="preserve">et al, </w:t>
            </w:r>
            <w:r>
              <w:t>Institute of Navigation National Technical Meeting 2004.</w:t>
            </w:r>
          </w:p>
        </w:tc>
      </w:tr>
    </w:tbl>
    <w:p w14:paraId="0844E601" w14:textId="77777777" w:rsidR="00FF4C48" w:rsidRPr="00FF4C48" w:rsidRDefault="00FF4C48" w:rsidP="00FF4C48">
      <w:pPr>
        <w:jc w:val="center"/>
      </w:pPr>
    </w:p>
    <w:p w14:paraId="51459164" w14:textId="77777777" w:rsidR="000D7518" w:rsidRDefault="000D7518">
      <w:pPr>
        <w:spacing w:after="200" w:line="276" w:lineRule="auto"/>
        <w:rPr>
          <w:rFonts w:asciiTheme="majorHAnsi" w:eastAsiaTheme="majorEastAsia" w:hAnsiTheme="majorHAnsi" w:cstheme="majorBidi"/>
          <w:b/>
          <w:bCs/>
          <w:caps/>
          <w:color w:val="407EC9"/>
          <w:sz w:val="24"/>
          <w:szCs w:val="24"/>
        </w:rPr>
      </w:pPr>
      <w:r>
        <w:br w:type="page"/>
      </w:r>
    </w:p>
    <w:p w14:paraId="004D9915" w14:textId="06038D04" w:rsidR="00FE47C9" w:rsidRDefault="00FF4C48" w:rsidP="00565D6B">
      <w:pPr>
        <w:pStyle w:val="Heading2"/>
      </w:pPr>
      <w:bookmarkStart w:id="28" w:name="_Toc336181779"/>
      <w:r>
        <w:t xml:space="preserve">The development of </w:t>
      </w:r>
      <w:r w:rsidR="000D7518">
        <w:rPr>
          <w:caps w:val="0"/>
        </w:rPr>
        <w:t>e</w:t>
      </w:r>
      <w:r>
        <w:t>Loran</w:t>
      </w:r>
      <w:bookmarkEnd w:id="28"/>
    </w:p>
    <w:p w14:paraId="3DF9A5BB" w14:textId="77777777" w:rsidR="00FF4C48" w:rsidRPr="00FF4C48" w:rsidRDefault="00FF4C48" w:rsidP="00FF4C48">
      <w:pPr>
        <w:pStyle w:val="Heading2separationline"/>
      </w:pPr>
    </w:p>
    <w:p w14:paraId="6AE90A56" w14:textId="4A584232" w:rsidR="00A329A4" w:rsidRPr="00FF4C48" w:rsidRDefault="00FF4C48" w:rsidP="00FF4C48">
      <w:pPr>
        <w:pStyle w:val="BodyText"/>
      </w:pPr>
      <w:r w:rsidRPr="00FF4C48">
        <w:t xml:space="preserve">eLoran is an enhanced version of the original </w:t>
      </w:r>
      <w:r>
        <w:t>Loran-C system.</w:t>
      </w:r>
    </w:p>
    <w:p w14:paraId="3BF66BDC" w14:textId="28AE94D0" w:rsidR="00FE47C9" w:rsidRDefault="00FF4C48" w:rsidP="00FF4C48">
      <w:pPr>
        <w:pStyle w:val="BodyText"/>
      </w:pPr>
      <w:r w:rsidRPr="00FF4C48">
        <w:t xml:space="preserve">Any discussion of the difference between Loran-C and eLoran is complicated because Loran-C has been modernised at different times and to different extents in different areas of the World.  The definitions in </w:t>
      </w:r>
      <w:r w:rsidR="0006783B">
        <w:rPr>
          <w:highlight w:val="yellow"/>
        </w:rPr>
        <w:fldChar w:fldCharType="begin"/>
      </w:r>
      <w:r w:rsidR="0006783B">
        <w:instrText xml:space="preserve"> REF _Ref453865673 \r \h </w:instrText>
      </w:r>
      <w:r w:rsidR="0006783B">
        <w:rPr>
          <w:highlight w:val="yellow"/>
        </w:rPr>
      </w:r>
      <w:r w:rsidR="0006783B">
        <w:rPr>
          <w:highlight w:val="yellow"/>
        </w:rPr>
        <w:fldChar w:fldCharType="separate"/>
      </w:r>
      <w:r w:rsidR="0006783B">
        <w:t>Table 4</w:t>
      </w:r>
      <w:r w:rsidR="0006783B">
        <w:rPr>
          <w:highlight w:val="yellow"/>
        </w:rPr>
        <w:fldChar w:fldCharType="end"/>
      </w:r>
      <w:r w:rsidRPr="00FF4C48">
        <w:t xml:space="preserve"> are used to assist the comparison.</w:t>
      </w:r>
    </w:p>
    <w:p w14:paraId="7784DE18" w14:textId="52C34FC6" w:rsidR="00FF4C48" w:rsidRDefault="00FF4C48" w:rsidP="00FF4C48">
      <w:pPr>
        <w:pStyle w:val="Tablecaption"/>
        <w:jc w:val="center"/>
      </w:pPr>
      <w:bookmarkStart w:id="29" w:name="_Ref453865673"/>
      <w:bookmarkStart w:id="30" w:name="_Toc336178218"/>
      <w:r w:rsidRPr="00FF4C48">
        <w:t>Definitions of different generations of Lora</w:t>
      </w:r>
      <w:r>
        <w:t>n</w:t>
      </w:r>
      <w:bookmarkEnd w:id="29"/>
      <w:bookmarkEnd w:id="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396"/>
      </w:tblGrid>
      <w:tr w:rsidR="00FF4C48" w14:paraId="41848065" w14:textId="77777777" w:rsidTr="00FF4C48">
        <w:tc>
          <w:tcPr>
            <w:tcW w:w="1668" w:type="dxa"/>
          </w:tcPr>
          <w:p w14:paraId="1D6296E6" w14:textId="77777777" w:rsidR="00FF4C48" w:rsidRPr="00C95BC4" w:rsidRDefault="00FF4C48" w:rsidP="00FF4C48">
            <w:pPr>
              <w:pStyle w:val="Tableheading"/>
            </w:pPr>
            <w:r w:rsidRPr="00C95BC4">
              <w:t>USCG Loran-C</w:t>
            </w:r>
          </w:p>
        </w:tc>
        <w:tc>
          <w:tcPr>
            <w:tcW w:w="8396" w:type="dxa"/>
          </w:tcPr>
          <w:p w14:paraId="6A43AE59" w14:textId="26249575" w:rsidR="00FF4C48" w:rsidRPr="006B515A" w:rsidRDefault="00FF4C48" w:rsidP="00FF4C48">
            <w:pPr>
              <w:pStyle w:val="Tabletext"/>
              <w:rPr>
                <w:bCs/>
              </w:rPr>
            </w:pPr>
            <w:r w:rsidRPr="006B515A">
              <w:t>The original version of Loran-C (c. 1960s) based on tube transmitters, S</w:t>
            </w:r>
            <w:r>
              <w:t xml:space="preserve">ervice </w:t>
            </w:r>
            <w:r w:rsidRPr="006B515A">
              <w:t>A</w:t>
            </w:r>
            <w:r>
              <w:t xml:space="preserve">rea </w:t>
            </w:r>
            <w:r w:rsidRPr="006B515A">
              <w:t>M</w:t>
            </w:r>
            <w:r>
              <w:t>onitor (SAM)</w:t>
            </w:r>
            <w:r w:rsidRPr="006B515A">
              <w:t xml:space="preserve"> control, ASF look-up tables and hyperbolic navigation, requiring large numbers of people on site.  Typical accuracy: 460</w:t>
            </w:r>
            <w:r w:rsidR="00220D95">
              <w:t xml:space="preserve"> </w:t>
            </w:r>
            <w:r w:rsidRPr="006B515A">
              <w:t>m (95%).</w:t>
            </w:r>
          </w:p>
        </w:tc>
      </w:tr>
      <w:tr w:rsidR="00FF4C48" w14:paraId="562F416D" w14:textId="77777777" w:rsidTr="00FF4C48">
        <w:tc>
          <w:tcPr>
            <w:tcW w:w="1668" w:type="dxa"/>
          </w:tcPr>
          <w:p w14:paraId="133E8A65" w14:textId="77777777" w:rsidR="00FF4C48" w:rsidRPr="00C95BC4" w:rsidRDefault="00FF4C48" w:rsidP="00FF4C48">
            <w:pPr>
              <w:pStyle w:val="Tableheading"/>
            </w:pPr>
            <w:r w:rsidRPr="00C95BC4">
              <w:t>Modernised Loran-C</w:t>
            </w:r>
          </w:p>
        </w:tc>
        <w:tc>
          <w:tcPr>
            <w:tcW w:w="8396" w:type="dxa"/>
          </w:tcPr>
          <w:p w14:paraId="61500727" w14:textId="2E12E694" w:rsidR="00FF4C48" w:rsidRPr="006B515A" w:rsidRDefault="00FF4C48" w:rsidP="00FF4C48">
            <w:pPr>
              <w:pStyle w:val="Tabletext"/>
              <w:rPr>
                <w:bCs/>
              </w:rPr>
            </w:pPr>
            <w:r w:rsidRPr="006B515A">
              <w:t xml:space="preserve">The original version of </w:t>
            </w:r>
            <w:r>
              <w:t xml:space="preserve">the </w:t>
            </w:r>
            <w:r w:rsidRPr="006B515A">
              <w:t>N</w:t>
            </w:r>
            <w:r>
              <w:t xml:space="preserve">orthwest </w:t>
            </w:r>
            <w:r w:rsidRPr="006B515A">
              <w:t>E</w:t>
            </w:r>
            <w:r>
              <w:t xml:space="preserve">uropean </w:t>
            </w:r>
            <w:r w:rsidRPr="006B515A">
              <w:t>L</w:t>
            </w:r>
            <w:r>
              <w:t xml:space="preserve">oran </w:t>
            </w:r>
            <w:r w:rsidRPr="006B515A">
              <w:t>S</w:t>
            </w:r>
            <w:r>
              <w:t>ystem (NELS)</w:t>
            </w:r>
            <w:r w:rsidRPr="006B515A">
              <w:t xml:space="preserve"> (c. 1990s) based on solid-state transmitters, time-of-emission </w:t>
            </w:r>
            <w:r>
              <w:t>control</w:t>
            </w:r>
            <w:r w:rsidRPr="006B515A">
              <w:t xml:space="preserve">, ASF </w:t>
            </w:r>
            <w:r>
              <w:t xml:space="preserve">software </w:t>
            </w:r>
            <w:r w:rsidRPr="006B515A">
              <w:t>model</w:t>
            </w:r>
            <w:r>
              <w:t>ling</w:t>
            </w:r>
            <w:r w:rsidRPr="006B515A">
              <w:t>, hyperbolic or rho-rho navigation, and requiring very few people on site.  Typical accuracy: 100</w:t>
            </w:r>
            <w:r w:rsidR="00220D95">
              <w:t xml:space="preserve"> </w:t>
            </w:r>
            <w:r w:rsidRPr="006B515A">
              <w:t>m (95%).</w:t>
            </w:r>
          </w:p>
        </w:tc>
      </w:tr>
      <w:tr w:rsidR="00FF4C48" w14:paraId="0FFF789B" w14:textId="77777777" w:rsidTr="00FF4C48">
        <w:tc>
          <w:tcPr>
            <w:tcW w:w="1668" w:type="dxa"/>
          </w:tcPr>
          <w:p w14:paraId="6DEDDFC4" w14:textId="77777777" w:rsidR="00FF4C48" w:rsidRPr="00C95BC4" w:rsidRDefault="00FF4C48" w:rsidP="00FF4C48">
            <w:pPr>
              <w:pStyle w:val="Tableheading"/>
            </w:pPr>
            <w:r w:rsidRPr="00C95BC4">
              <w:t>Prototype eLoran</w:t>
            </w:r>
            <w:r w:rsidRPr="00C95BC4">
              <w:rPr>
                <w:vertAlign w:val="superscript"/>
              </w:rPr>
              <w:t>1</w:t>
            </w:r>
          </w:p>
        </w:tc>
        <w:tc>
          <w:tcPr>
            <w:tcW w:w="8396" w:type="dxa"/>
          </w:tcPr>
          <w:p w14:paraId="59AE54FE" w14:textId="4BF1E1BE" w:rsidR="00FF4C48" w:rsidRPr="006B515A" w:rsidRDefault="00FF4C48" w:rsidP="00FF4C48">
            <w:pPr>
              <w:pStyle w:val="Tabletext"/>
            </w:pPr>
            <w:r w:rsidRPr="006B515A">
              <w:t xml:space="preserve">The </w:t>
            </w:r>
            <w:r>
              <w:t xml:space="preserve">UK </w:t>
            </w:r>
            <w:r w:rsidRPr="006B515A">
              <w:t>G</w:t>
            </w:r>
            <w:r>
              <w:t xml:space="preserve">eneral </w:t>
            </w:r>
            <w:r w:rsidRPr="006B515A">
              <w:t>L</w:t>
            </w:r>
            <w:r>
              <w:t xml:space="preserve">ighthouse </w:t>
            </w:r>
            <w:r w:rsidRPr="006B515A">
              <w:t>A</w:t>
            </w:r>
            <w:r>
              <w:t>uthority’</w:t>
            </w:r>
            <w:r w:rsidRPr="006B515A">
              <w:t xml:space="preserve">s system (c. 2008) based on modernised Loran-C together with (i) Eurofix </w:t>
            </w:r>
            <w:r>
              <w:t>as the LDC</w:t>
            </w:r>
            <w:r w:rsidRPr="006B515A">
              <w:t>, (ii) all-in-view navigation, (iii) precise ASF surveys, and (iii) differential</w:t>
            </w:r>
            <w:r>
              <w:t>-</w:t>
            </w:r>
            <w:r w:rsidRPr="006B515A">
              <w:t>Loran reference stations for maritime use.  Typical accuracy: 10-20</w:t>
            </w:r>
            <w:r w:rsidR="00220D95">
              <w:t xml:space="preserve"> </w:t>
            </w:r>
            <w:r w:rsidRPr="006B515A">
              <w:t>m (95%).</w:t>
            </w:r>
            <w:r w:rsidRPr="006B515A">
              <w:rPr>
                <w:bCs/>
              </w:rPr>
              <w:t xml:space="preserve"> </w:t>
            </w:r>
          </w:p>
        </w:tc>
      </w:tr>
      <w:tr w:rsidR="00FF4C48" w14:paraId="1FD3E68E" w14:textId="77777777" w:rsidTr="00FF4C48">
        <w:tc>
          <w:tcPr>
            <w:tcW w:w="1668" w:type="dxa"/>
          </w:tcPr>
          <w:p w14:paraId="56C28E1A" w14:textId="03A02481" w:rsidR="00FF4C48" w:rsidRPr="00C95BC4" w:rsidRDefault="00FF4C48" w:rsidP="00FF4C48">
            <w:pPr>
              <w:pStyle w:val="Tableheading"/>
            </w:pPr>
            <w:r w:rsidRPr="00C95BC4">
              <w:t>eLoran</w:t>
            </w:r>
            <w:r w:rsidR="00220D95">
              <w:rPr>
                <w:rStyle w:val="FootnoteReference"/>
              </w:rPr>
              <w:footnoteReference w:id="1"/>
            </w:r>
          </w:p>
        </w:tc>
        <w:tc>
          <w:tcPr>
            <w:tcW w:w="8396" w:type="dxa"/>
          </w:tcPr>
          <w:p w14:paraId="00D25357" w14:textId="196E0DC4" w:rsidR="00FF4C48" w:rsidRPr="006B515A" w:rsidRDefault="00FF4C48" w:rsidP="00FF4C48">
            <w:pPr>
              <w:pStyle w:val="Tabletext"/>
              <w:rPr>
                <w:bCs/>
              </w:rPr>
            </w:pPr>
            <w:r w:rsidRPr="006B515A">
              <w:rPr>
                <w:bCs/>
              </w:rPr>
              <w:t xml:space="preserve">This is based on (i) updated station equipment to improve timing stability, (ii) mitigation of vulnerabilities to ensure high availability, (iii) </w:t>
            </w:r>
            <w:r>
              <w:rPr>
                <w:bCs/>
              </w:rPr>
              <w:t xml:space="preserve">LDC </w:t>
            </w:r>
            <w:r w:rsidRPr="006B515A">
              <w:rPr>
                <w:bCs/>
              </w:rPr>
              <w:t>at all stations, and (iv) modernised control</w:t>
            </w:r>
            <w:r>
              <w:rPr>
                <w:bCs/>
              </w:rPr>
              <w:t>/monitoring</w:t>
            </w:r>
            <w:r w:rsidRPr="006B515A">
              <w:rPr>
                <w:bCs/>
              </w:rPr>
              <w:t xml:space="preserve"> </w:t>
            </w:r>
            <w:r>
              <w:rPr>
                <w:bCs/>
              </w:rPr>
              <w:t>capability at a Control Centre</w:t>
            </w:r>
            <w:r w:rsidRPr="006B515A">
              <w:rPr>
                <w:bCs/>
              </w:rPr>
              <w:t>. Typical accuracy: 10-20</w:t>
            </w:r>
            <w:r w:rsidR="00220D95">
              <w:rPr>
                <w:bCs/>
              </w:rPr>
              <w:t xml:space="preserve"> </w:t>
            </w:r>
            <w:r w:rsidRPr="006B515A">
              <w:rPr>
                <w:bCs/>
              </w:rPr>
              <w:t>m (95%).</w:t>
            </w:r>
          </w:p>
        </w:tc>
      </w:tr>
    </w:tbl>
    <w:p w14:paraId="3F4947D7" w14:textId="458A6E62" w:rsidR="00FF4C48" w:rsidRDefault="00FF4C48" w:rsidP="00220D95">
      <w:pPr>
        <w:pStyle w:val="BodyText"/>
      </w:pPr>
    </w:p>
    <w:p w14:paraId="7955C62A" w14:textId="791A6D65" w:rsidR="00FF4C48" w:rsidRDefault="00FF4C48" w:rsidP="00FF4C48">
      <w:pPr>
        <w:pStyle w:val="Heading3"/>
      </w:pPr>
      <w:bookmarkStart w:id="31" w:name="_Toc445900951"/>
      <w:bookmarkStart w:id="32" w:name="_Toc336181780"/>
      <w:r w:rsidRPr="00FF4C48">
        <w:t>Positioning Mode and eLoran Receivers</w:t>
      </w:r>
      <w:bookmarkEnd w:id="31"/>
      <w:bookmarkEnd w:id="32"/>
    </w:p>
    <w:p w14:paraId="6E1FBD03" w14:textId="52A2FD59" w:rsidR="00A329A4" w:rsidRDefault="00FF4C48" w:rsidP="00FF4C48">
      <w:pPr>
        <w:pStyle w:val="BodyText"/>
      </w:pPr>
      <w:r>
        <w:t xml:space="preserve">Loran-C was a hyperbolic system and the user measured the Time Differences (TDs) between the arrival times of Loran-C signals from pairs of transmitters (typically the master and one of the secondary stations) within the same group. </w:t>
      </w:r>
      <w:r w:rsidR="0037692B">
        <w:t>M</w:t>
      </w:r>
      <w:r>
        <w:t>easur</w:t>
      </w:r>
      <w:r w:rsidR="0037692B">
        <w:t>ing</w:t>
      </w:r>
      <w:r>
        <w:t xml:space="preserve"> all points on the earth where the same TD is measured and plott</w:t>
      </w:r>
      <w:r w:rsidR="0037692B">
        <w:t>ing</w:t>
      </w:r>
      <w:r>
        <w:t xml:space="preserve"> those points on a navigation chart </w:t>
      </w:r>
      <w:r w:rsidR="0037692B">
        <w:t>it</w:t>
      </w:r>
      <w:r>
        <w:t xml:space="preserve"> would </w:t>
      </w:r>
      <w:r w:rsidR="0037692B">
        <w:t xml:space="preserve">be </w:t>
      </w:r>
      <w:r>
        <w:t>see</w:t>
      </w:r>
      <w:r w:rsidR="0037692B">
        <w:t>n</w:t>
      </w:r>
      <w:r>
        <w:t xml:space="preserve"> that the points all lie along a hyperbolic curve defined by the location of the pair of transmitters.</w:t>
      </w:r>
      <w:r w:rsidR="004374AA">
        <w:t xml:space="preserve"> </w:t>
      </w:r>
      <w:r>
        <w:t xml:space="preserve"> </w:t>
      </w:r>
      <w:r w:rsidR="0037692B">
        <w:t>Measuring</w:t>
      </w:r>
      <w:r>
        <w:t xml:space="preserve"> another TD, using the same master but now a different secondary, </w:t>
      </w:r>
      <w:r w:rsidR="0037692B">
        <w:t>derives</w:t>
      </w:r>
      <w:r>
        <w:t xml:space="preserve"> another hyperbolic curve – where the two hyperbolic curves cross is </w:t>
      </w:r>
      <w:r w:rsidR="0037692B">
        <w:t>the observer’s</w:t>
      </w:r>
      <w:r>
        <w:t xml:space="preserve"> position. </w:t>
      </w:r>
      <w:r w:rsidR="004374AA">
        <w:t xml:space="preserve"> </w:t>
      </w:r>
      <w:r>
        <w:t>With hyperbolic navigation each station’s transmission does not have to be synchronized to a precise clock – as long as the TDs measured between the pairs of stations is constant at a given location the sys</w:t>
      </w:r>
      <w:r w:rsidR="004374AA">
        <w:t>tem is considered to be stable.</w:t>
      </w:r>
    </w:p>
    <w:p w14:paraId="51DE107B" w14:textId="49ABA1B7" w:rsidR="00A329A4" w:rsidRDefault="00FF4C48" w:rsidP="00FF4C48">
      <w:pPr>
        <w:pStyle w:val="BodyText"/>
      </w:pPr>
      <w:r>
        <w:t xml:space="preserve">Control of this synchronisation was performed by installing a Service Area Monitor (SAM) somewhere in the coverage area. </w:t>
      </w:r>
      <w:r w:rsidR="004374AA">
        <w:t xml:space="preserve"> </w:t>
      </w:r>
      <w:r>
        <w:t>The SAM would be configured with a nominal set of TDs determined at the SAM’s location.</w:t>
      </w:r>
      <w:r w:rsidR="004374AA">
        <w:t xml:space="preserve">  </w:t>
      </w:r>
      <w:r>
        <w:t xml:space="preserve">The Master station of each pair was not synchronised to any external source of time and was allowed to drift, however the secondary stations were adjusted by measurements made at the SAM to maintain the constant TD at that location. </w:t>
      </w:r>
      <w:r w:rsidR="004374AA">
        <w:t xml:space="preserve"> </w:t>
      </w:r>
      <w:r>
        <w:t xml:space="preserve">This has the implication that the stability of the hyperbolic lines was only precisely maintained at the location of the SAM, other locations within the coverage area may witness accuracy degradation because of the distance </w:t>
      </w:r>
      <w:r w:rsidR="004374AA">
        <w:t>from the SAM calibration point.</w:t>
      </w:r>
    </w:p>
    <w:p w14:paraId="4DBF650E" w14:textId="0645FDC8" w:rsidR="00A329A4" w:rsidRDefault="00A329A4" w:rsidP="00A329A4">
      <w:pPr>
        <w:pStyle w:val="BodyText"/>
      </w:pPr>
      <w:r>
        <w:t xml:space="preserve">This ensures that Loran System Time is maintained, and is based on the assumption that all Master transmitters began transmitting at midnight on 1st January 1958 (the Loran Epoch). Each transmitter’s broadcast is therefore synchronised to UTC, although Loran System Time implements no leap-seconds. This method of control is referred to as Time of Emission (or Transmission) (TOE, or TOT) control. UTC messages can be broadcast over the Loran Data Channel, which include a figure for the current number of leap-seconds between Loran System Time and UT1 (mean solar time). This implies that eLoran can be used to provide timing users with a precise source of time independent of satellite systems. </w:t>
      </w:r>
    </w:p>
    <w:p w14:paraId="42949ED4" w14:textId="77777777" w:rsidR="00A329A4" w:rsidRDefault="00A329A4" w:rsidP="00A329A4">
      <w:pPr>
        <w:pStyle w:val="BodyText"/>
      </w:pPr>
    </w:p>
    <w:p w14:paraId="5A9E1590" w14:textId="164EA522" w:rsidR="00A329A4" w:rsidRDefault="00A329A4" w:rsidP="00A329A4">
      <w:pPr>
        <w:pStyle w:val="BodyText"/>
      </w:pPr>
      <w:r>
        <w:t xml:space="preserve">In order to use eLoran, users should operate a receiver capable of calculating an eLoran position in accordance to the technical specifications set out </w:t>
      </w:r>
      <w:r w:rsidR="00B27C78">
        <w:t>[2]</w:t>
      </w:r>
      <w:r>
        <w:t xml:space="preserve">, </w:t>
      </w:r>
      <w:r>
        <w:fldChar w:fldCharType="begin"/>
      </w:r>
      <w:r>
        <w:instrText xml:space="preserve"> REF _Ref453943114 \r \h </w:instrText>
      </w:r>
      <w:r>
        <w:fldChar w:fldCharType="separate"/>
      </w:r>
      <w:r w:rsidR="00B27C78">
        <w:t>[11]</w:t>
      </w:r>
      <w:r>
        <w:fldChar w:fldCharType="end"/>
      </w:r>
      <w:r>
        <w:t xml:space="preserve"> and incorporating an up-to-date ASF correction database.</w:t>
      </w:r>
    </w:p>
    <w:p w14:paraId="7C29272A" w14:textId="24F5A642" w:rsidR="00FF4C48" w:rsidRDefault="00A329A4" w:rsidP="00FF4C48">
      <w:pPr>
        <w:pStyle w:val="BodyText"/>
      </w:pPr>
      <w:r>
        <w:t>Earlier generation Loran-C receivers will be able to utilise any core Loran signals received, but will not be able to benefit from ASF mapping or the eLoran LDC messages.</w:t>
      </w:r>
    </w:p>
    <w:p w14:paraId="51D08213" w14:textId="058E0DFB" w:rsidR="00FF4C48" w:rsidRDefault="00FF4C48" w:rsidP="004374AA">
      <w:pPr>
        <w:pStyle w:val="Heading3"/>
      </w:pPr>
      <w:bookmarkStart w:id="33" w:name="_Toc336181781"/>
      <w:r>
        <w:t>The Loran Data Channel</w:t>
      </w:r>
      <w:bookmarkEnd w:id="33"/>
    </w:p>
    <w:p w14:paraId="5F430CD9" w14:textId="39F9F93E" w:rsidR="004E22A8" w:rsidRDefault="00FF4C48" w:rsidP="00FF4C48">
      <w:pPr>
        <w:pStyle w:val="BodyText"/>
      </w:pPr>
      <w:r>
        <w:t>The principal difference between Loran-C and eLoran is the addition of a</w:t>
      </w:r>
      <w:r w:rsidR="0015175D">
        <w:t>n LDC</w:t>
      </w:r>
      <w:r>
        <w:t xml:space="preserve"> by pulse position modulation (PPM) of the eLoran signal. </w:t>
      </w:r>
      <w:r w:rsidR="004374AA">
        <w:t xml:space="preserve"> </w:t>
      </w:r>
      <w:r>
        <w:t>There are two main L</w:t>
      </w:r>
      <w:r w:rsidR="0015175D">
        <w:t>DC</w:t>
      </w:r>
      <w:r>
        <w:t xml:space="preserve"> techniques in development. </w:t>
      </w:r>
      <w:r w:rsidR="004374AA">
        <w:t xml:space="preserve"> </w:t>
      </w:r>
      <w:r>
        <w:t>One is Eurofix, based on a standard</w:t>
      </w:r>
      <w:r w:rsidR="0015175D">
        <w:t xml:space="preserve">ised, balanced tri-state PPM </w:t>
      </w:r>
      <w:r w:rsidR="0015175D">
        <w:fldChar w:fldCharType="begin"/>
      </w:r>
      <w:r w:rsidR="0015175D">
        <w:instrText xml:space="preserve"> REF _Ref453941301 \r \h </w:instrText>
      </w:r>
      <w:r w:rsidR="0015175D">
        <w:fldChar w:fldCharType="separate"/>
      </w:r>
      <w:r w:rsidR="0015175D">
        <w:t>[6]</w:t>
      </w:r>
      <w:r w:rsidR="0015175D">
        <w:fldChar w:fldCharType="end"/>
      </w:r>
      <w:r>
        <w:t xml:space="preserve">. </w:t>
      </w:r>
      <w:r w:rsidR="004374AA">
        <w:t xml:space="preserve"> </w:t>
      </w:r>
      <w:r>
        <w:t>This is the modulation of the last 6 pulses in a station’s 8 pulse group transmission, so the pulses used for Position, Navigation and Timing can also be used to transmit data.</w:t>
      </w:r>
      <w:r w:rsidR="0015175D">
        <w:t xml:space="preserve"> </w:t>
      </w:r>
      <w:r>
        <w:t xml:space="preserve"> The </w:t>
      </w:r>
      <w:r w:rsidR="0015175D">
        <w:t xml:space="preserve">other LDC concept is 9th Pulse </w:t>
      </w:r>
      <w:r w:rsidR="0015175D">
        <w:fldChar w:fldCharType="begin"/>
      </w:r>
      <w:r w:rsidR="0015175D">
        <w:instrText xml:space="preserve"> REF _Ref453941277 \r \h </w:instrText>
      </w:r>
      <w:r w:rsidR="0015175D">
        <w:fldChar w:fldCharType="separate"/>
      </w:r>
      <w:r w:rsidR="0015175D">
        <w:t>[5]</w:t>
      </w:r>
      <w:r w:rsidR="0015175D">
        <w:fldChar w:fldCharType="end"/>
      </w:r>
      <w:r w:rsidR="0015175D">
        <w:t xml:space="preserve">, </w:t>
      </w:r>
      <w:r w:rsidR="0015175D">
        <w:fldChar w:fldCharType="begin"/>
      </w:r>
      <w:r w:rsidR="0015175D">
        <w:instrText xml:space="preserve"> REF _Ref453941329 \r \h </w:instrText>
      </w:r>
      <w:r w:rsidR="0015175D">
        <w:fldChar w:fldCharType="separate"/>
      </w:r>
      <w:r w:rsidR="0015175D">
        <w:t>[7]</w:t>
      </w:r>
      <w:r w:rsidR="0015175D">
        <w:fldChar w:fldCharType="end"/>
      </w:r>
      <w:r>
        <w:t>, which is again a pulse position modulation scheme, using an extra pulse added to the end of the transmitted 8-pulse groups.</w:t>
      </w:r>
      <w:r w:rsidR="004374AA">
        <w:t xml:space="preserve"> </w:t>
      </w:r>
      <w:r>
        <w:t xml:space="preserve"> It is also possible to add a 10th and even an 11th pulse to the broadcast as long as there is space in the GRI.</w:t>
      </w:r>
      <w:r w:rsidR="004374AA">
        <w:t xml:space="preserve"> </w:t>
      </w:r>
      <w:r>
        <w:t xml:space="preserve"> For maritime services the use of tri-state PPM and Nth Pulse is not mutually exclusive.</w:t>
      </w:r>
    </w:p>
    <w:p w14:paraId="6EA88A50" w14:textId="70853B4F" w:rsidR="00FF4C48" w:rsidRDefault="00FF4C48" w:rsidP="00FF4C48">
      <w:pPr>
        <w:pStyle w:val="BodyText"/>
      </w:pPr>
      <w:r>
        <w:t xml:space="preserve">The data channel conveys corrections, warnings, and signal integrity information to the user’s receiver via the Loran transmission. </w:t>
      </w:r>
      <w:r w:rsidR="004374AA">
        <w:t xml:space="preserve"> </w:t>
      </w:r>
      <w:r>
        <w:t>The data transmitted may not be needed for all applications but will include at a mi</w:t>
      </w:r>
      <w:r w:rsidR="004374AA">
        <w:t>nimum:</w:t>
      </w:r>
    </w:p>
    <w:p w14:paraId="52CF1F1D" w14:textId="42414C32" w:rsidR="00FF4C48" w:rsidRDefault="00FF4C48" w:rsidP="004374AA">
      <w:pPr>
        <w:pStyle w:val="Bullet1"/>
      </w:pPr>
      <w:r>
        <w:t>The identity of the station</w:t>
      </w:r>
      <w:r w:rsidR="004374AA">
        <w:t>;</w:t>
      </w:r>
    </w:p>
    <w:p w14:paraId="6EE985B5" w14:textId="5E14F5CD" w:rsidR="00FF4C48" w:rsidRDefault="00FF4C48" w:rsidP="004374AA">
      <w:pPr>
        <w:pStyle w:val="Bullet1"/>
      </w:pPr>
      <w:r>
        <w:t>Almanacs of Loran transmitting and differential monitor sites - making it possible to change systems without rendering previous eLoran receivers obsolete</w:t>
      </w:r>
      <w:r w:rsidR="004374AA">
        <w:t>;</w:t>
      </w:r>
    </w:p>
    <w:p w14:paraId="0FBB595B" w14:textId="2F090927" w:rsidR="00FF4C48" w:rsidRDefault="00FF4C48" w:rsidP="004374AA">
      <w:pPr>
        <w:pStyle w:val="Bullet1"/>
      </w:pPr>
      <w:r>
        <w:t>Absolute time based on the Co</w:t>
      </w:r>
      <w:r w:rsidR="0015175D">
        <w:t>-</w:t>
      </w:r>
      <w:r>
        <w:t>ordinated Universal Time (UTC) scale</w:t>
      </w:r>
      <w:r w:rsidR="004374AA">
        <w:t>;</w:t>
      </w:r>
    </w:p>
    <w:p w14:paraId="215FC16A" w14:textId="03314C7D" w:rsidR="00FF4C48" w:rsidRDefault="00FF4C48" w:rsidP="004374AA">
      <w:pPr>
        <w:pStyle w:val="Bullet1"/>
      </w:pPr>
      <w:r>
        <w:t>Leap-second offsets betw</w:t>
      </w:r>
      <w:r w:rsidR="004374AA">
        <w:t>een eLoran system time and UTC;</w:t>
      </w:r>
    </w:p>
    <w:p w14:paraId="718BD2AD" w14:textId="15501B60" w:rsidR="00FF4C48" w:rsidRDefault="00FF4C48" w:rsidP="004374AA">
      <w:pPr>
        <w:pStyle w:val="Bullet1"/>
      </w:pPr>
      <w:r>
        <w:t>Warnings of anomalous radio propagation conditions including early skywaves</w:t>
      </w:r>
      <w:r w:rsidR="004374AA">
        <w:t>;</w:t>
      </w:r>
    </w:p>
    <w:p w14:paraId="1C1E2884" w14:textId="7C96C70D" w:rsidR="00FF4C48" w:rsidRDefault="00FF4C48" w:rsidP="004374AA">
      <w:pPr>
        <w:pStyle w:val="Bullet1"/>
      </w:pPr>
      <w:r>
        <w:t>Warnings of signal failures, aimed at maximizi</w:t>
      </w:r>
      <w:r w:rsidR="004374AA">
        <w:t>ng the integrity of the system;</w:t>
      </w:r>
    </w:p>
    <w:p w14:paraId="4C05188F" w14:textId="3F5F2EF1" w:rsidR="00FF4C48" w:rsidRDefault="00FF4C48" w:rsidP="004374AA">
      <w:pPr>
        <w:pStyle w:val="Bullet1"/>
      </w:pPr>
      <w:r>
        <w:t>Messages that allow users to authenticate the eLoran transmissions</w:t>
      </w:r>
      <w:r w:rsidR="004374AA">
        <w:t>;</w:t>
      </w:r>
    </w:p>
    <w:p w14:paraId="7A8C0029" w14:textId="16274AB2" w:rsidR="00FF4C48" w:rsidRDefault="00FF4C48" w:rsidP="004374AA">
      <w:pPr>
        <w:pStyle w:val="Bullet1"/>
      </w:pPr>
      <w:r>
        <w:t>Official-use only messages</w:t>
      </w:r>
      <w:r w:rsidR="004374AA">
        <w:t>;</w:t>
      </w:r>
    </w:p>
    <w:p w14:paraId="67EF1968" w14:textId="7C695A90" w:rsidR="00FF4C48" w:rsidRDefault="00FF4C48" w:rsidP="004374AA">
      <w:pPr>
        <w:pStyle w:val="Bullet1"/>
      </w:pPr>
      <w:r>
        <w:t>Differential Loran corrections, to maximize accuracy for maritime and timing users</w:t>
      </w:r>
      <w:r w:rsidR="004374AA">
        <w:t>;</w:t>
      </w:r>
    </w:p>
    <w:p w14:paraId="5AAE9601" w14:textId="1A780D4B" w:rsidR="00FF4C48" w:rsidRDefault="00FF4C48" w:rsidP="004374AA">
      <w:pPr>
        <w:pStyle w:val="Bullet1"/>
      </w:pPr>
      <w:r>
        <w:t xml:space="preserve">Differential GNSS corrections may also be broadcast as an option depending on the available bandwidth </w:t>
      </w:r>
      <w:r w:rsidR="004374AA">
        <w:t>of the LDC.</w:t>
      </w:r>
    </w:p>
    <w:p w14:paraId="76BD7B6D" w14:textId="70C44696" w:rsidR="00FF4C48" w:rsidRDefault="00FF4C48" w:rsidP="004374AA">
      <w:pPr>
        <w:pStyle w:val="Heading3"/>
      </w:pPr>
      <w:bookmarkStart w:id="34" w:name="_Toc336181782"/>
      <w:r>
        <w:t>Additional Secondary Factors (ASF)</w:t>
      </w:r>
      <w:bookmarkEnd w:id="34"/>
    </w:p>
    <w:p w14:paraId="5E350759" w14:textId="08B0E15B" w:rsidR="00FF4C48" w:rsidRDefault="00FF4C48" w:rsidP="00FF4C48">
      <w:pPr>
        <w:pStyle w:val="BodyText"/>
      </w:pPr>
      <w:r>
        <w:t>eLoran receivers calculate their position by measuring how long it takes the system’s 100</w:t>
      </w:r>
      <w:r w:rsidR="0015175D">
        <w:t xml:space="preserve"> </w:t>
      </w:r>
      <w:r>
        <w:t xml:space="preserve">kHz groundwave radio signals to reach them over the surface of the earth from the transmitters. </w:t>
      </w:r>
      <w:r w:rsidR="004374AA">
        <w:t xml:space="preserve"> </w:t>
      </w:r>
      <w:r>
        <w:t xml:space="preserve">The measured propagation times are called ‘pseudoranges’. </w:t>
      </w:r>
      <w:r w:rsidR="004374AA">
        <w:t xml:space="preserve"> </w:t>
      </w:r>
      <w:r>
        <w:t>eLoran receivers measure the pseudoranges of a number of signals from transmitters placed around the coverage area.</w:t>
      </w:r>
    </w:p>
    <w:p w14:paraId="0DFE20A3" w14:textId="77777777" w:rsidR="004E22A8" w:rsidRDefault="004E22A8" w:rsidP="00FF4C48">
      <w:pPr>
        <w:pStyle w:val="BodyText"/>
      </w:pPr>
    </w:p>
    <w:p w14:paraId="1D4DF246" w14:textId="2542A211" w:rsidR="00FF4C48" w:rsidRDefault="004374AA" w:rsidP="004374AA">
      <w:pPr>
        <w:pStyle w:val="BodyText"/>
        <w:jc w:val="center"/>
      </w:pPr>
      <w:r>
        <w:rPr>
          <w:noProof/>
          <w:lang w:eastAsia="en-GB"/>
        </w:rPr>
        <w:drawing>
          <wp:inline distT="0" distB="0" distL="0" distR="0" wp14:anchorId="0850238C" wp14:editId="05705C46">
            <wp:extent cx="3511550" cy="3065145"/>
            <wp:effectExtent l="19050" t="19050" r="12700" b="20955"/>
            <wp:docPr id="20" name="Picture 20" descr="positio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sitioni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511550" cy="3065145"/>
                    </a:xfrm>
                    <a:prstGeom prst="rect">
                      <a:avLst/>
                    </a:prstGeom>
                    <a:noFill/>
                    <a:ln w="12700" cmpd="sng">
                      <a:solidFill>
                        <a:srgbClr val="000000"/>
                      </a:solidFill>
                      <a:miter lim="800000"/>
                      <a:headEnd/>
                      <a:tailEnd/>
                    </a:ln>
                    <a:effectLst/>
                  </pic:spPr>
                </pic:pic>
              </a:graphicData>
            </a:graphic>
          </wp:inline>
        </w:drawing>
      </w:r>
    </w:p>
    <w:p w14:paraId="52541E6D" w14:textId="3F5A7DBF" w:rsidR="00FF4C48" w:rsidRDefault="004374AA" w:rsidP="004374AA">
      <w:pPr>
        <w:pStyle w:val="Figurecaption"/>
      </w:pPr>
      <w:bookmarkStart w:id="35" w:name="_Ref453864958"/>
      <w:bookmarkStart w:id="36" w:name="_Toc336178228"/>
      <w:r w:rsidRPr="004374AA">
        <w:t>Example of all-in-view positioning using Anthorn, Lessay and Sylt. With all-in-view mode signals need not belong to the same GRI and more than three signals are employed in the positioning solution in order to provide integrity</w:t>
      </w:r>
      <w:bookmarkEnd w:id="35"/>
      <w:bookmarkEnd w:id="36"/>
    </w:p>
    <w:p w14:paraId="353BA725" w14:textId="1DE1079F" w:rsidR="004E22A8" w:rsidRDefault="004374AA" w:rsidP="004374AA">
      <w:pPr>
        <w:pStyle w:val="BodyText"/>
      </w:pPr>
      <w:r>
        <w:fldChar w:fldCharType="begin"/>
      </w:r>
      <w:r>
        <w:instrText xml:space="preserve"> REF _Ref453864958 \r \h </w:instrText>
      </w:r>
      <w:r>
        <w:fldChar w:fldCharType="separate"/>
      </w:r>
      <w:r>
        <w:t>Figure 6</w:t>
      </w:r>
      <w:r>
        <w:fldChar w:fldCharType="end"/>
      </w:r>
      <w:r>
        <w:t xml:space="preserve"> shows an example of some lines of position (circles) with the transmitters at Sylt (Germany), Anthorn (United Kingdom) and Lessay (France) at the centres.  The reception of signals from three stations is sufficient to compute a position but more signals are typically employed in the positioning solution in order to provide integrity.  Signal received need NOT belong to the same GRI.</w:t>
      </w:r>
    </w:p>
    <w:p w14:paraId="5CEE2A83" w14:textId="56BF3E7E" w:rsidR="004E22A8" w:rsidRDefault="004374AA" w:rsidP="004374AA">
      <w:pPr>
        <w:pStyle w:val="BodyText"/>
      </w:pPr>
      <w:r>
        <w:t>The receiver measures these time delays and, by assuming a value for the propagation speed of the signal, the position relative to the transmitters can be computed.  The speed of a ground-wave radio signal depends on the electrical conductivity of the surface over which it travels.  For example, it travels slowest over ice, deserts and mountains, a little more quickly over good farm land and quickest of all over sea water.</w:t>
      </w:r>
    </w:p>
    <w:p w14:paraId="01CD52DA" w14:textId="42CBE8E5" w:rsidR="004E22A8" w:rsidRDefault="004374AA" w:rsidP="004374AA">
      <w:pPr>
        <w:pStyle w:val="BodyText"/>
      </w:pPr>
      <w:r>
        <w:t>eLoran receivers compute their position in two stages.</w:t>
      </w:r>
      <w:r w:rsidR="0015175D">
        <w:t xml:space="preserve"> </w:t>
      </w:r>
      <w:r>
        <w:t xml:space="preserve"> Firstly, they assume that the entire earth’s surface is covered in sea-water and they therefore employ a sea-water propagation model for the speed of pro</w:t>
      </w:r>
      <w:r w:rsidR="0015175D">
        <w:t>pagation</w:t>
      </w:r>
      <w:r w:rsidR="00B27C78">
        <w:t xml:space="preserve"> [2]</w:t>
      </w:r>
      <w:r>
        <w:t>.  This model is based on a set of standard parameters adopted b</w:t>
      </w:r>
      <w:r w:rsidR="0015175D">
        <w:t>y the United States Coast Guard</w:t>
      </w:r>
      <w:r>
        <w:t xml:space="preserve"> and models propagation over sea-water in earth’s atmosphere very accurately.</w:t>
      </w:r>
    </w:p>
    <w:p w14:paraId="5B419209" w14:textId="62DEA717" w:rsidR="004E22A8" w:rsidRDefault="004374AA" w:rsidP="004374AA">
      <w:pPr>
        <w:pStyle w:val="BodyText"/>
      </w:pPr>
      <w:r>
        <w:t>In the second stage, the delays due to land paths are taken into account by adding them to the pseudorange measurements.  These delays are called Additional Secondary Factor</w:t>
      </w:r>
      <w:r w:rsidR="0015175D">
        <w:t xml:space="preserve"> (ASF) delays</w:t>
      </w:r>
      <w:r>
        <w:t>.  Their values are expressed as microseconds of propagation delay, and are typically supplied to users as a database built in</w:t>
      </w:r>
      <w:r w:rsidR="0015175D">
        <w:t>to their receivers.  ASF</w:t>
      </w:r>
      <w:r>
        <w:t xml:space="preserve"> are the dominant propagation phenomenon affecting the accuracy of positioning and navigation with eLoran.</w:t>
      </w:r>
    </w:p>
    <w:p w14:paraId="3FAEAC87" w14:textId="4D53A1D4" w:rsidR="004E22A8" w:rsidRDefault="0015175D" w:rsidP="004374AA">
      <w:pPr>
        <w:pStyle w:val="BodyText"/>
      </w:pPr>
      <w:r>
        <w:t>If ASF</w:t>
      </w:r>
      <w:r w:rsidR="004374AA">
        <w:t xml:space="preserve"> are not taken into account they appear as a bias, or offset, in the measured pseudorange of an eLoran signal.  </w:t>
      </w:r>
      <w:r w:rsidR="004374AA">
        <w:rPr>
          <w:highlight w:val="yellow"/>
        </w:rPr>
        <w:fldChar w:fldCharType="begin"/>
      </w:r>
      <w:r w:rsidR="004374AA">
        <w:instrText xml:space="preserve"> REF _Ref453865093 \r \h </w:instrText>
      </w:r>
      <w:r w:rsidR="004374AA">
        <w:rPr>
          <w:highlight w:val="yellow"/>
        </w:rPr>
      </w:r>
      <w:r w:rsidR="004374AA">
        <w:rPr>
          <w:highlight w:val="yellow"/>
        </w:rPr>
        <w:fldChar w:fldCharType="separate"/>
      </w:r>
      <w:r w:rsidR="004374AA">
        <w:t>Figure 7</w:t>
      </w:r>
      <w:r w:rsidR="004374AA">
        <w:rPr>
          <w:highlight w:val="yellow"/>
        </w:rPr>
        <w:fldChar w:fldCharType="end"/>
      </w:r>
      <w:r w:rsidR="004374AA">
        <w:t xml:space="preserve"> illustrates this; the position of the vessel determined by the eLoran receiver is offset from its true position because of the land in the propagation path from the eLoran transmitter at Lessay.</w:t>
      </w:r>
    </w:p>
    <w:p w14:paraId="52BA159E" w14:textId="711E7422" w:rsidR="004374AA" w:rsidRDefault="004374AA" w:rsidP="004374AA">
      <w:pPr>
        <w:pStyle w:val="BodyText"/>
        <w:jc w:val="center"/>
      </w:pPr>
      <w:r>
        <w:rPr>
          <w:noProof/>
          <w:lang w:eastAsia="en-GB"/>
        </w:rPr>
        <w:drawing>
          <wp:inline distT="0" distB="0" distL="0" distR="0" wp14:anchorId="385A380F" wp14:editId="78256D17">
            <wp:extent cx="4279265" cy="2787015"/>
            <wp:effectExtent l="19050" t="19050" r="26035" b="13335"/>
            <wp:docPr id="19" name="Picture 19" descr="LANDS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NDSE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279265" cy="2787015"/>
                    </a:xfrm>
                    <a:prstGeom prst="rect">
                      <a:avLst/>
                    </a:prstGeom>
                    <a:noFill/>
                    <a:ln w="12700" cmpd="sng">
                      <a:solidFill>
                        <a:srgbClr val="000000"/>
                      </a:solidFill>
                      <a:miter lim="800000"/>
                      <a:headEnd/>
                      <a:tailEnd/>
                    </a:ln>
                    <a:effectLst/>
                  </pic:spPr>
                </pic:pic>
              </a:graphicData>
            </a:graphic>
          </wp:inline>
        </w:drawing>
      </w:r>
    </w:p>
    <w:p w14:paraId="47DC2338" w14:textId="28ACF840" w:rsidR="004374AA" w:rsidRDefault="004374AA" w:rsidP="004374AA">
      <w:pPr>
        <w:pStyle w:val="Figurecaption"/>
        <w:jc w:val="center"/>
      </w:pPr>
      <w:bookmarkStart w:id="37" w:name="_Ref453865093"/>
      <w:bookmarkStart w:id="38" w:name="_Toc336178229"/>
      <w:r>
        <w:t>ASF due to Lessay results in a position offset if it is not taken into account.</w:t>
      </w:r>
      <w:bookmarkEnd w:id="37"/>
      <w:bookmarkEnd w:id="38"/>
    </w:p>
    <w:p w14:paraId="257A7719" w14:textId="25617922" w:rsidR="004374AA" w:rsidRDefault="004374AA" w:rsidP="004374AA">
      <w:pPr>
        <w:pStyle w:val="BodyText"/>
      </w:pPr>
      <w:r>
        <w:t xml:space="preserve">ASF data will be required to be provided to the mariner. </w:t>
      </w:r>
      <w:r w:rsidR="0015175D">
        <w:t xml:space="preserve"> </w:t>
      </w:r>
      <w:r>
        <w:t>There are two main voyage phases that require to be supported:</w:t>
      </w:r>
    </w:p>
    <w:p w14:paraId="6637AF34" w14:textId="4F40B020" w:rsidR="004374AA" w:rsidRDefault="004374AA" w:rsidP="004374AA">
      <w:pPr>
        <w:pStyle w:val="List1"/>
      </w:pPr>
      <w:r>
        <w:t>Port Approach Voyage Phase – data will be measured through bespoke measurement campaigns at each port approach as discussed above</w:t>
      </w:r>
    </w:p>
    <w:p w14:paraId="5E473BDB" w14:textId="2770D97B" w:rsidR="004374AA" w:rsidRDefault="004374AA" w:rsidP="004374AA">
      <w:pPr>
        <w:pStyle w:val="List1"/>
      </w:pPr>
      <w:r>
        <w:t>Coastal Voyage Phase – data will be modelled to the best of the service provider’s ability.</w:t>
      </w:r>
      <w:r w:rsidR="0015175D">
        <w:t xml:space="preserve"> </w:t>
      </w:r>
      <w:r>
        <w:t xml:space="preserve"> The modelled data will be calibrated using a small amount of ASF measurements gathered through the operation of ‘vessels of convenience’.</w:t>
      </w:r>
    </w:p>
    <w:p w14:paraId="6DD01719" w14:textId="2F540C24" w:rsidR="004374AA" w:rsidRDefault="004374AA" w:rsidP="004374AA">
      <w:pPr>
        <w:pStyle w:val="BodyText"/>
      </w:pPr>
      <w:r>
        <w:t xml:space="preserve">eLoran receivers may be integrated with GNSS, and such ‘Resilient PNT’ receivers are available. </w:t>
      </w:r>
      <w:r w:rsidR="0015175D">
        <w:t xml:space="preserve"> </w:t>
      </w:r>
      <w:r>
        <w:t>These receivers can be employed not just for navigation purposes but for automatically measuring and logging ASF data, since they already ha</w:t>
      </w:r>
      <w:r w:rsidR="00435222">
        <w:t>ve a GNSS receiver ‘built in’.</w:t>
      </w:r>
    </w:p>
    <w:p w14:paraId="6DB661EB" w14:textId="767057B8" w:rsidR="004374AA" w:rsidRDefault="004374AA" w:rsidP="00435222">
      <w:pPr>
        <w:pStyle w:val="Heading4"/>
      </w:pPr>
      <w:r>
        <w:t>Determining ASF Values</w:t>
      </w:r>
    </w:p>
    <w:p w14:paraId="08D7666A" w14:textId="77777777" w:rsidR="004374AA" w:rsidRDefault="004374AA" w:rsidP="004374AA">
      <w:pPr>
        <w:pStyle w:val="BodyText"/>
      </w:pPr>
      <w:r>
        <w:t>The eLoran service provider is responsible for producing maps of Additional Secondary Factors for its operating region. There are several ways to produce ASF data:</w:t>
      </w:r>
    </w:p>
    <w:p w14:paraId="4A80B5AB" w14:textId="46628D5B" w:rsidR="004374AA" w:rsidRDefault="004374AA" w:rsidP="008E7A4F">
      <w:pPr>
        <w:pStyle w:val="List1"/>
        <w:numPr>
          <w:ilvl w:val="0"/>
          <w:numId w:val="32"/>
        </w:numPr>
      </w:pPr>
      <w:r>
        <w:t>Measure ASFs directly using an ASF measurement system</w:t>
      </w:r>
      <w:r w:rsidR="0015175D">
        <w:t>.</w:t>
      </w:r>
    </w:p>
    <w:p w14:paraId="46C62DB3" w14:textId="4DD5B273" w:rsidR="004374AA" w:rsidRDefault="004374AA" w:rsidP="00435222">
      <w:pPr>
        <w:pStyle w:val="List1"/>
      </w:pPr>
      <w:r>
        <w:t>Model ASFs using computer software</w:t>
      </w:r>
      <w:r w:rsidR="0015175D">
        <w:t>.</w:t>
      </w:r>
    </w:p>
    <w:p w14:paraId="3BD3F7EE" w14:textId="1DDE257E" w:rsidR="004374AA" w:rsidRDefault="004374AA" w:rsidP="00435222">
      <w:pPr>
        <w:pStyle w:val="List1"/>
      </w:pPr>
      <w:r>
        <w:t>Combine modelled data with a set of measu</w:t>
      </w:r>
      <w:r w:rsidR="0015175D">
        <w:t>rements measured using vessels.</w:t>
      </w:r>
    </w:p>
    <w:p w14:paraId="4DDB3F60" w14:textId="2A7A4EA0" w:rsidR="004374AA" w:rsidRDefault="004374AA" w:rsidP="00435222">
      <w:pPr>
        <w:pStyle w:val="Heading4"/>
      </w:pPr>
      <w:r>
        <w:t>Measuring ASFs</w:t>
      </w:r>
    </w:p>
    <w:p w14:paraId="7A5F2A3B" w14:textId="6F560442" w:rsidR="004E22A8" w:rsidRDefault="004374AA" w:rsidP="004374AA">
      <w:pPr>
        <w:pStyle w:val="BodyText"/>
      </w:pPr>
      <w:r>
        <w:t>The simplest, an</w:t>
      </w:r>
      <w:r w:rsidR="0015175D">
        <w:t>d most accurate, way to map ASF</w:t>
      </w:r>
      <w:r>
        <w:t xml:space="preserve"> is by measuring them using special equipment aboard a survey vessel.</w:t>
      </w:r>
      <w:r w:rsidR="00435222">
        <w:t xml:space="preserve"> </w:t>
      </w:r>
      <w:r>
        <w:t xml:space="preserve"> The true position (the ground-truth) is typically determined using differential GNSS, which has a horizontal accuracy of approximately 1</w:t>
      </w:r>
      <w:r w:rsidR="0015175D">
        <w:t xml:space="preserve"> </w:t>
      </w:r>
      <w:r>
        <w:t>m (95%).</w:t>
      </w:r>
      <w:r w:rsidR="00435222">
        <w:t xml:space="preserve"> </w:t>
      </w:r>
      <w:r>
        <w:t xml:space="preserve"> If the ground-truth position is compared to the position given by an eLoran receiver with a sea-water only propagation model, the position offset would be due to ASF.</w:t>
      </w:r>
      <w:r w:rsidR="00435222">
        <w:t xml:space="preserve"> </w:t>
      </w:r>
      <w:r>
        <w:t xml:space="preserve"> However, ASF measurement is expensive in terms of ship time, and so this method is reserved for bespoke surveys for areas requiring the greatest positioning accuracy available from eLoran – Harbour Approaches.</w:t>
      </w:r>
    </w:p>
    <w:p w14:paraId="3D808811" w14:textId="6492777B" w:rsidR="004E22A8" w:rsidRDefault="004E22A8" w:rsidP="004374AA">
      <w:pPr>
        <w:pStyle w:val="BodyText"/>
      </w:pPr>
      <w:r w:rsidRPr="004E22A8">
        <w:t>For vessel-mounted receivers used to measure ASF, it is important to use an E-Field eLoran antenna to remove any heading-dependency that may result from interaction between the vessel’s metal superstructure and an H-Field eLoran antenna. When using an E-Field antenna, it is important to mount the antenna element high up, and on the end of a conducting antenna-mount to maximise E-field concentration and thus improve eLoran signal reception. Establishing an electrical Earth is also critical, as often a ship’s on-board mains power Earth is insufficient. Ideally a direct electrical connection made to the metal hull of the vessel, which in turn is in electrical contact with the sea-water, is necessary for vessel installation of an E-Field antenna.</w:t>
      </w:r>
    </w:p>
    <w:p w14:paraId="01A89C90" w14:textId="390903B7" w:rsidR="004E22A8" w:rsidRDefault="0015175D" w:rsidP="004374AA">
      <w:pPr>
        <w:pStyle w:val="BodyText"/>
      </w:pPr>
      <w:r>
        <w:rPr>
          <w:highlight w:val="yellow"/>
        </w:rPr>
        <w:fldChar w:fldCharType="begin"/>
      </w:r>
      <w:r>
        <w:instrText xml:space="preserve"> REF _Ref453943600 \r \h </w:instrText>
      </w:r>
      <w:r>
        <w:rPr>
          <w:highlight w:val="yellow"/>
        </w:rPr>
      </w:r>
      <w:r>
        <w:rPr>
          <w:highlight w:val="yellow"/>
        </w:rPr>
        <w:fldChar w:fldCharType="separate"/>
      </w:r>
      <w:r>
        <w:t>Figure 8</w:t>
      </w:r>
      <w:r>
        <w:rPr>
          <w:highlight w:val="yellow"/>
        </w:rPr>
        <w:fldChar w:fldCharType="end"/>
      </w:r>
      <w:r w:rsidR="004374AA">
        <w:t xml:space="preserve"> shows an example of an ASF measurement system. </w:t>
      </w:r>
      <w:r>
        <w:t xml:space="preserve"> </w:t>
      </w:r>
      <w:r w:rsidR="004374AA">
        <w:t xml:space="preserve">The unit consists of an eLoran receiver; a GPS receiver to provide </w:t>
      </w:r>
      <w:r w:rsidR="00435222">
        <w:t>‘</w:t>
      </w:r>
      <w:r w:rsidR="004374AA">
        <w:t>ground-truth</w:t>
      </w:r>
      <w:r w:rsidR="00435222">
        <w:t>’</w:t>
      </w:r>
      <w:r w:rsidR="004374AA">
        <w:t xml:space="preserve"> position and a precise time-tag against which to measure the eLoran signals’ times of arrival; custom electronics, and a PC in one convenient 19inch rack mountable unit. </w:t>
      </w:r>
      <w:r w:rsidR="00435222">
        <w:t xml:space="preserve"> </w:t>
      </w:r>
      <w:r w:rsidR="004374AA">
        <w:t>ASF surveying software runs on this system and is used to process and v</w:t>
      </w:r>
      <w:r>
        <w:t xml:space="preserve">alidate the ASF data collected </w:t>
      </w:r>
      <w:r>
        <w:fldChar w:fldCharType="begin"/>
      </w:r>
      <w:r>
        <w:instrText xml:space="preserve"> REF _Ref453941348 \r \h </w:instrText>
      </w:r>
      <w:r>
        <w:fldChar w:fldCharType="separate"/>
      </w:r>
      <w:r>
        <w:t>[8]</w:t>
      </w:r>
      <w:r>
        <w:fldChar w:fldCharType="end"/>
      </w:r>
      <w:r w:rsidR="004374AA">
        <w:t>.</w:t>
      </w:r>
      <w:r w:rsidR="00435222">
        <w:t xml:space="preserve"> </w:t>
      </w:r>
      <w:r w:rsidR="004374AA">
        <w:t xml:space="preserve"> During bespoke surveys the equipment is typically monitored by a human operator and the success of the ASF measurement process, and the quality of the resulting data can be determined in real-time lending the possibility of re-surveying areas should a problem be found.</w:t>
      </w:r>
      <w:r w:rsidR="004E22A8">
        <w:t xml:space="preserve"> </w:t>
      </w:r>
      <w:r w:rsidR="004E22A8" w:rsidRPr="004E22A8">
        <w:t>Installing an eLoran antenna on a vessel, performing an ASF Measurement survey and operating the ASF Measurement System are not trivial tasks.</w:t>
      </w:r>
    </w:p>
    <w:p w14:paraId="002021E1" w14:textId="7173B0A9" w:rsidR="00FF4C48" w:rsidRDefault="0006783B" w:rsidP="0006783B">
      <w:pPr>
        <w:pStyle w:val="BodyText"/>
        <w:jc w:val="center"/>
      </w:pPr>
      <w:r>
        <w:rPr>
          <w:noProof/>
          <w:lang w:eastAsia="en-GB"/>
        </w:rPr>
        <w:drawing>
          <wp:inline distT="0" distB="0" distL="0" distR="0" wp14:anchorId="7E4D30A3" wp14:editId="724FD71F">
            <wp:extent cx="5727700" cy="1982470"/>
            <wp:effectExtent l="19050" t="19050" r="25400" b="17780"/>
            <wp:docPr id="26" name="Picture 26" descr="ASF un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F unit"/>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27700" cy="1982470"/>
                    </a:xfrm>
                    <a:prstGeom prst="rect">
                      <a:avLst/>
                    </a:prstGeom>
                    <a:noFill/>
                    <a:ln w="9525" cmpd="sng">
                      <a:solidFill>
                        <a:srgbClr val="000000"/>
                      </a:solidFill>
                      <a:miter lim="800000"/>
                      <a:headEnd/>
                      <a:tailEnd/>
                    </a:ln>
                    <a:effectLst/>
                  </pic:spPr>
                </pic:pic>
              </a:graphicData>
            </a:graphic>
          </wp:inline>
        </w:drawing>
      </w:r>
    </w:p>
    <w:p w14:paraId="6BC065E4" w14:textId="53281F7E" w:rsidR="00FF4C48" w:rsidRDefault="0006783B" w:rsidP="0006783B">
      <w:pPr>
        <w:pStyle w:val="Figurecaption"/>
        <w:jc w:val="center"/>
      </w:pPr>
      <w:bookmarkStart w:id="39" w:name="_Ref453943600"/>
      <w:bookmarkStart w:id="40" w:name="_Toc336178230"/>
      <w:r w:rsidRPr="0006783B">
        <w:t>An example of an ASF Measurement System</w:t>
      </w:r>
      <w:bookmarkEnd w:id="39"/>
      <w:bookmarkEnd w:id="40"/>
    </w:p>
    <w:p w14:paraId="4F11BBAA" w14:textId="38462263" w:rsidR="00FF4C48" w:rsidRDefault="0006783B" w:rsidP="0006783B">
      <w:pPr>
        <w:pStyle w:val="Heading4"/>
      </w:pPr>
      <w:r>
        <w:t>Modelling ASFs</w:t>
      </w:r>
    </w:p>
    <w:p w14:paraId="1442D7C6" w14:textId="21025128" w:rsidR="00A66C61" w:rsidRDefault="0006783B" w:rsidP="0006783B">
      <w:pPr>
        <w:pStyle w:val="BodyText"/>
      </w:pPr>
      <w:r>
        <w:t>Measurement is only practical for small regions such as harbour approaches where methods of surveying have evolved that take into account the physics of eLoran signal propagation</w:t>
      </w:r>
      <w:r w:rsidR="00E62EAF">
        <w:t xml:space="preserve"> and the characteristics of ASF</w:t>
      </w:r>
      <w:r>
        <w:t xml:space="preserve"> as they build up over land along the signal propagation path from the transmitter to the mariner’s vessel.  For larger areas it is more appropriate to model the ASF data using computer software. </w:t>
      </w:r>
    </w:p>
    <w:p w14:paraId="4BD8E83C" w14:textId="77306210" w:rsidR="00A66C61" w:rsidRDefault="0006783B" w:rsidP="0006783B">
      <w:pPr>
        <w:pStyle w:val="BodyText"/>
      </w:pPr>
      <w:r>
        <w:t xml:space="preserve">There are sophisticated methods available for modelling eLoran propagation and producing software generated ASF maps.  These techniques take into account the electrical ground conductivity of the surface of the earth (land or sea), terrain elevation and coastline, using a set of databases.  </w:t>
      </w:r>
      <w:r w:rsidR="00E62EAF">
        <w:t>ASF maps</w:t>
      </w:r>
      <w:r>
        <w:t xml:space="preserve"> are produced in grid format and at required grid densities for a given coverage area.</w:t>
      </w:r>
      <w:r w:rsidR="00E62EAF">
        <w:t xml:space="preserve"> </w:t>
      </w:r>
      <w:r>
        <w:t xml:space="preserve"> In this way large ASF maps, one for each eLoran transmitter within the coverage area can be produced; as has been done for the waters around </w:t>
      </w:r>
      <w:r w:rsidR="00E62EAF">
        <w:t xml:space="preserve">the United Kingdom and Ireland </w:t>
      </w:r>
      <w:r w:rsidR="00E62EAF">
        <w:fldChar w:fldCharType="begin"/>
      </w:r>
      <w:r w:rsidR="00E62EAF">
        <w:instrText xml:space="preserve"> REF _Ref453941372 \r \h </w:instrText>
      </w:r>
      <w:r w:rsidR="00E62EAF">
        <w:fldChar w:fldCharType="separate"/>
      </w:r>
      <w:r w:rsidR="00B27C78">
        <w:t>[10]</w:t>
      </w:r>
      <w:r w:rsidR="00E62EAF">
        <w:fldChar w:fldCharType="end"/>
      </w:r>
      <w:r>
        <w:t>.  Such maps, following calibration with measured ASF data, are suitable for use during the Coastal Voyage Phase, where the mariner may be far away from a DLoran Reference Station. Interpolation is used to determine the ASF for a vessel’s location when between grid points</w:t>
      </w:r>
      <w:r w:rsidR="00B27C78">
        <w:t xml:space="preserve"> [2]</w:t>
      </w:r>
      <w:r>
        <w:t>.</w:t>
      </w:r>
    </w:p>
    <w:p w14:paraId="1D71D7CE" w14:textId="5B1CF6F8" w:rsidR="0006783B" w:rsidRDefault="0006783B" w:rsidP="0006783B">
      <w:pPr>
        <w:pStyle w:val="Heading3"/>
      </w:pPr>
      <w:bookmarkStart w:id="41" w:name="_Toc336181783"/>
      <w:r>
        <w:t>DLoran</w:t>
      </w:r>
      <w:bookmarkEnd w:id="41"/>
    </w:p>
    <w:p w14:paraId="58AAFA31" w14:textId="1AA01540" w:rsidR="00A66C61" w:rsidRDefault="00A66C61" w:rsidP="0006783B">
      <w:pPr>
        <w:pStyle w:val="BodyText"/>
      </w:pPr>
      <w:r w:rsidRPr="00A66C61">
        <w:t xml:space="preserve">In order to get the highest accuracy from eLoran, a service called </w:t>
      </w:r>
      <w:r>
        <w:t>DLoran</w:t>
      </w:r>
      <w:r w:rsidRPr="00A66C61">
        <w:t xml:space="preserve"> will need to be provided in those regions requiring 10 m (95%) accuracy – for example during a harbour approach. DLoran works in a similar way to Differential GNSS, in that a </w:t>
      </w:r>
      <w:r>
        <w:t>DLoran</w:t>
      </w:r>
      <w:r w:rsidRPr="00A66C61">
        <w:t xml:space="preserve"> Reference Station is set up to cover a specific service area.</w:t>
      </w:r>
    </w:p>
    <w:p w14:paraId="0A5BFA0A" w14:textId="77777777" w:rsidR="00A66C61" w:rsidRDefault="00A66C61" w:rsidP="0006783B">
      <w:pPr>
        <w:pStyle w:val="BodyText"/>
      </w:pPr>
    </w:p>
    <w:p w14:paraId="3711F2D1" w14:textId="77777777" w:rsidR="00A66C61" w:rsidRDefault="00A66C61" w:rsidP="0006783B">
      <w:pPr>
        <w:pStyle w:val="BodyText"/>
      </w:pPr>
    </w:p>
    <w:p w14:paraId="469CFD43" w14:textId="77777777" w:rsidR="00A66C61" w:rsidRDefault="00A66C61" w:rsidP="0006783B">
      <w:pPr>
        <w:pStyle w:val="BodyText"/>
      </w:pPr>
    </w:p>
    <w:p w14:paraId="0FACDC2B" w14:textId="77777777" w:rsidR="00A66C61" w:rsidRDefault="00A66C61" w:rsidP="0006783B">
      <w:pPr>
        <w:pStyle w:val="BodyText"/>
      </w:pPr>
    </w:p>
    <w:p w14:paraId="75871584" w14:textId="77777777" w:rsidR="00A66C61" w:rsidRDefault="00A66C61" w:rsidP="0006783B">
      <w:pPr>
        <w:pStyle w:val="BodyText"/>
      </w:pPr>
    </w:p>
    <w:p w14:paraId="5A51561F" w14:textId="77777777" w:rsidR="00A66C61" w:rsidRDefault="00A66C61" w:rsidP="0006783B">
      <w:pPr>
        <w:pStyle w:val="BodyText"/>
      </w:pPr>
    </w:p>
    <w:p w14:paraId="164E242C" w14:textId="77777777" w:rsidR="00A66C61" w:rsidRDefault="00A66C61" w:rsidP="00A66C61">
      <w:pPr>
        <w:pStyle w:val="BodyText"/>
      </w:pPr>
      <w:r>
        <w:t>During the establishment of the service area precise ASF measurements would be made along the harbour approach and the data processed ahead of eventual publication.  However, ASF measurements are only valid for the day on which they are made because the electrical characteristics of the land change with rainfall and season of the year.</w:t>
      </w:r>
    </w:p>
    <w:p w14:paraId="463E6B1F" w14:textId="28834517" w:rsidR="0006783B" w:rsidRDefault="0006783B" w:rsidP="0006783B">
      <w:pPr>
        <w:pStyle w:val="BodyText"/>
      </w:pPr>
      <w:r>
        <w:t>DLoran Reference Stations continuously measure the propagation time of the eLoran signals to the service area and compute the differences between the nominal measured ASF stored within the reference station, and the current value of the ASF measured by the eLoran receiver at the reference station.  This correction is broadcast to the user via the L</w:t>
      </w:r>
      <w:r w:rsidR="00E62EAF">
        <w:t>DC</w:t>
      </w:r>
      <w:r>
        <w:t>; and the corrections used to obtain the best positioning accuracy possible.  Variations in TOA of the signals also include components due to transmitter timing variations and atmospheric effects; these are automatically lumped together with the ASF variation in the computed differential correction.</w:t>
      </w:r>
    </w:p>
    <w:p w14:paraId="334357EA" w14:textId="7EC94332" w:rsidR="004D7580" w:rsidRDefault="004D7580" w:rsidP="0006783B">
      <w:pPr>
        <w:pStyle w:val="BodyText"/>
      </w:pPr>
      <w:r w:rsidRPr="004D7580">
        <w:t>Setting of Nominal ASFs at a Reference Station must be done very carefully to link a Reference Station to a particular ASF Map. Differential corrections from the Reference Station must be subtracted from measured pseudo-ranges recorded during the ASF survey, and these relative ASFs mapped. This is done so that when an eLoran receiver makes use of the ASF Map, adding the current Differential Correction to the mapped ASF should yield the current value for the ASF for the signal in question.</w:t>
      </w:r>
    </w:p>
    <w:p w14:paraId="63A05E79" w14:textId="457D87C2" w:rsidR="0006783B" w:rsidRDefault="0006783B" w:rsidP="0006783B">
      <w:pPr>
        <w:pStyle w:val="Heading3"/>
      </w:pPr>
      <w:bookmarkStart w:id="42" w:name="_Toc336181784"/>
      <w:r>
        <w:t>Time and Frequency Equipment</w:t>
      </w:r>
      <w:bookmarkEnd w:id="42"/>
    </w:p>
    <w:p w14:paraId="1A553C79" w14:textId="4EFE3CC0" w:rsidR="0006783B" w:rsidRDefault="0006783B" w:rsidP="0006783B">
      <w:pPr>
        <w:pStyle w:val="BodyText"/>
      </w:pPr>
      <w:r>
        <w:t>New eLoran transmitters contain up to three caesium clocks.  The increased timing stability and integrity of the eLoran signal means that the signal can be used as a precise source of time and frequency for telecommunications applications, power grid synchronization, financial transactions etc.</w:t>
      </w:r>
      <w:r w:rsidR="00E62EAF">
        <w:t xml:space="preserve"> </w:t>
      </w:r>
      <w:r>
        <w:t xml:space="preserve"> UTC can be recovered to an accuracy of 50ns or better from an eLoran transmission, and the frequency stability is in the order of 10-12 or better.</w:t>
      </w:r>
    </w:p>
    <w:p w14:paraId="52FDB2BE" w14:textId="0A6D70D6" w:rsidR="0006783B" w:rsidRDefault="0006783B" w:rsidP="0006783B">
      <w:pPr>
        <w:pStyle w:val="BodyText"/>
      </w:pPr>
      <w:r>
        <w:t>eLoran signals should be synchronised to Universal Co</w:t>
      </w:r>
      <w:r w:rsidR="00E62EAF">
        <w:t>-</w:t>
      </w:r>
      <w:r>
        <w:t>ordinated Time (UTC).</w:t>
      </w:r>
    </w:p>
    <w:p w14:paraId="69BEF31F" w14:textId="4DE61C25" w:rsidR="0006783B" w:rsidRDefault="0006783B" w:rsidP="0006783B">
      <w:pPr>
        <w:pStyle w:val="BodyText"/>
      </w:pPr>
      <w:r>
        <w:t>The</w:t>
      </w:r>
      <w:r w:rsidR="00E62EAF">
        <w:t xml:space="preserve"> Signal Performance Standard </w:t>
      </w:r>
      <w:r w:rsidR="00E62EAF">
        <w:fldChar w:fldCharType="begin"/>
      </w:r>
      <w:r w:rsidR="00E62EAF">
        <w:instrText xml:space="preserve"> REF _Ref453941277 \r \h </w:instrText>
      </w:r>
      <w:r w:rsidR="00E62EAF">
        <w:fldChar w:fldCharType="separate"/>
      </w:r>
      <w:r w:rsidR="00E62EAF">
        <w:t>[5]</w:t>
      </w:r>
      <w:r w:rsidR="00E62EAF">
        <w:fldChar w:fldCharType="end"/>
      </w:r>
      <w:r>
        <w:t xml:space="preserve"> requires:</w:t>
      </w:r>
    </w:p>
    <w:p w14:paraId="5D81CCC5" w14:textId="4F217032" w:rsidR="0006783B" w:rsidRDefault="0006783B" w:rsidP="0006783B">
      <w:pPr>
        <w:pStyle w:val="Bullet1"/>
      </w:pPr>
      <w:r>
        <w:t>The 10 second exponential moving average of all navigation pulses (not modulated) shall be within 25 ns of UTC;</w:t>
      </w:r>
    </w:p>
    <w:p w14:paraId="5799799B" w14:textId="34BBFDB1" w:rsidR="0006783B" w:rsidRDefault="0006783B" w:rsidP="0006783B">
      <w:pPr>
        <w:pStyle w:val="Bullet1"/>
      </w:pPr>
      <w:r>
        <w:t>The 1 second exponential moving average of all navigation pulses (not modulated) shall be within 100 ns of UTC;</w:t>
      </w:r>
    </w:p>
    <w:p w14:paraId="35DB198F" w14:textId="5A62FE27" w:rsidR="0006783B" w:rsidRDefault="0006783B" w:rsidP="0006783B">
      <w:pPr>
        <w:pStyle w:val="Bullet1"/>
      </w:pPr>
      <w:r>
        <w:t>The peak to peak variation of the 5 second exponential moving average of all navigation pulses (not modulated) shall be less than 10 ns within a 20-minute period.</w:t>
      </w:r>
    </w:p>
    <w:p w14:paraId="31704C28" w14:textId="0FD29A80" w:rsidR="0006783B" w:rsidRDefault="0006783B" w:rsidP="0006783B">
      <w:pPr>
        <w:pStyle w:val="BodyText"/>
      </w:pPr>
      <w:r>
        <w:t>Time of Emission adjustment is performed by frequency steering of the driving Caesium oscillators, rather than making</w:t>
      </w:r>
      <w:r w:rsidR="00E62EAF">
        <w:t xml:space="preserve"> integer time adjustment steps </w:t>
      </w:r>
      <w:r w:rsidR="00E62EAF">
        <w:fldChar w:fldCharType="begin"/>
      </w:r>
      <w:r w:rsidR="00E62EAF">
        <w:instrText xml:space="preserve"> REF _Ref453936835 \r \h </w:instrText>
      </w:r>
      <w:r w:rsidR="00E62EAF">
        <w:fldChar w:fldCharType="separate"/>
      </w:r>
      <w:r w:rsidR="00B27C78">
        <w:t>[12]</w:t>
      </w:r>
      <w:r w:rsidR="00E62EAF">
        <w:fldChar w:fldCharType="end"/>
      </w:r>
      <w:r>
        <w:t>.</w:t>
      </w:r>
    </w:p>
    <w:p w14:paraId="2734B5C0" w14:textId="22BCF204" w:rsidR="0006783B" w:rsidRDefault="0006783B" w:rsidP="0006783B">
      <w:pPr>
        <w:pStyle w:val="Heading3"/>
      </w:pPr>
      <w:bookmarkStart w:id="43" w:name="_Toc336181785"/>
      <w:r>
        <w:t>Benefits of eLoran</w:t>
      </w:r>
      <w:bookmarkEnd w:id="43"/>
    </w:p>
    <w:p w14:paraId="2C2D4E88" w14:textId="3CC9A931" w:rsidR="0006783B" w:rsidRDefault="0006783B" w:rsidP="0006783B">
      <w:pPr>
        <w:pStyle w:val="BodyText"/>
      </w:pPr>
      <w:r>
        <w:t>eLoran is an aid to navigation that is complementary to GNSS, providing continuation of Position, Navigation and Timing (PNT) service provision when GNSS becomes unavailable for any particular reason. eLoran receivers may be integrated with GNSS receivers providing a seamless backup.</w:t>
      </w:r>
    </w:p>
    <w:p w14:paraId="612A91B1" w14:textId="16D8625C" w:rsidR="0006783B" w:rsidRDefault="0006783B" w:rsidP="0006783B">
      <w:pPr>
        <w:pStyle w:val="BodyText"/>
      </w:pPr>
      <w:r>
        <w:t>eLoran meets the position accuracy requirements for non-precision approach for aviation; the harbour entrance and approach requirements for the maritime sector; and the timing and frequency requirements of communications system providers. It is a system that has no failure modes in common with GNSS.</w:t>
      </w:r>
      <w:r w:rsidR="00B30098">
        <w:t xml:space="preserve"> </w:t>
      </w:r>
      <w:r>
        <w:t xml:space="preserve"> It is complementary in the following way:</w:t>
      </w:r>
    </w:p>
    <w:p w14:paraId="39242EC9" w14:textId="621319B8" w:rsidR="0006783B" w:rsidRDefault="0006783B" w:rsidP="0006783B">
      <w:pPr>
        <w:pStyle w:val="Bullet1"/>
      </w:pPr>
      <w:r>
        <w:t>eLoran is Low Frequency while GNSS is Ultra High Frequency;</w:t>
      </w:r>
    </w:p>
    <w:p w14:paraId="3C2395AF" w14:textId="3E8AB79F" w:rsidR="0006783B" w:rsidRDefault="0006783B" w:rsidP="0006783B">
      <w:pPr>
        <w:pStyle w:val="Bullet1"/>
      </w:pPr>
      <w:r>
        <w:t>eLoran has transmitters on the earth while GNSS has space-based transmitters;</w:t>
      </w:r>
    </w:p>
    <w:p w14:paraId="6BAA4858" w14:textId="6CC07357" w:rsidR="0006783B" w:rsidRDefault="0006783B" w:rsidP="0006783B">
      <w:pPr>
        <w:pStyle w:val="Bullet1"/>
      </w:pPr>
      <w:r>
        <w:t>eLoran is high power while GNSS is very low power.</w:t>
      </w:r>
    </w:p>
    <w:p w14:paraId="7EA641C4" w14:textId="2E15BD67" w:rsidR="0006783B" w:rsidRDefault="0006783B" w:rsidP="00565D6B">
      <w:pPr>
        <w:pStyle w:val="Heading2"/>
      </w:pPr>
      <w:bookmarkStart w:id="44" w:name="_Toc336181786"/>
      <w:r>
        <w:t>Standards Process</w:t>
      </w:r>
      <w:bookmarkEnd w:id="44"/>
    </w:p>
    <w:p w14:paraId="130FE85F" w14:textId="77777777" w:rsidR="0006783B" w:rsidRPr="0006783B" w:rsidRDefault="0006783B" w:rsidP="0006783B">
      <w:pPr>
        <w:pStyle w:val="Heading2separationline"/>
      </w:pPr>
    </w:p>
    <w:p w14:paraId="645230B8" w14:textId="075109E5" w:rsidR="0006783B" w:rsidRDefault="0006783B" w:rsidP="0006783B">
      <w:pPr>
        <w:pStyle w:val="BodyText"/>
      </w:pPr>
      <w:r>
        <w:t xml:space="preserve">This section sets out the roles of the various international bodies involved in standardisation of Position, Navigation </w:t>
      </w:r>
      <w:r w:rsidR="00B30098">
        <w:t>and Timing equipment and systems.</w:t>
      </w:r>
    </w:p>
    <w:p w14:paraId="267487B4" w14:textId="3BCD2C20" w:rsidR="0006783B" w:rsidRDefault="0006783B" w:rsidP="0006783B">
      <w:pPr>
        <w:pStyle w:val="Heading3"/>
      </w:pPr>
      <w:bookmarkStart w:id="45" w:name="_Toc336181787"/>
      <w:r>
        <w:t>International Regulatory Bodies</w:t>
      </w:r>
      <w:bookmarkEnd w:id="45"/>
    </w:p>
    <w:p w14:paraId="5F86DD54" w14:textId="0511988B" w:rsidR="0006783B" w:rsidRDefault="0006783B" w:rsidP="0006783B">
      <w:pPr>
        <w:pStyle w:val="BodyText"/>
      </w:pPr>
      <w:r>
        <w:t>The International Maritime Organisation (IMO) is the United Nations specialized agency with responsibility for the safety and security of shipping and the prevention of marine pollution by ships.</w:t>
      </w:r>
      <w:r w:rsidR="00B30098">
        <w:t xml:space="preserve"> </w:t>
      </w:r>
      <w:r>
        <w:t xml:space="preserve"> IMO sets the performance standards for systems and onboard equipment, based on established user requirements.</w:t>
      </w:r>
    </w:p>
    <w:p w14:paraId="53E5D0A8" w14:textId="0F15CB11" w:rsidR="0006783B" w:rsidRDefault="0006783B" w:rsidP="0006783B">
      <w:pPr>
        <w:pStyle w:val="BodyText"/>
      </w:pPr>
      <w:r>
        <w:t xml:space="preserve">The International Telecommunication Union (ITU) is the UN specialized agency for information and communications technologies. </w:t>
      </w:r>
      <w:r w:rsidR="00B30098">
        <w:t xml:space="preserve"> </w:t>
      </w:r>
      <w:r>
        <w:t>ITU determines the technical characteristics and radio spectrum requirements for radio-determination systems.</w:t>
      </w:r>
    </w:p>
    <w:p w14:paraId="3282A183" w14:textId="521BFD7C" w:rsidR="0006783B" w:rsidRDefault="0006783B" w:rsidP="0006783B">
      <w:pPr>
        <w:pStyle w:val="BodyText"/>
      </w:pPr>
      <w:r>
        <w:t>The International Electrotechnical Commission (IEC) is the international standards and conformity assessment body for all fields of electrotechnology.</w:t>
      </w:r>
      <w:r w:rsidR="00B30098">
        <w:t xml:space="preserve"> </w:t>
      </w:r>
      <w:r>
        <w:t xml:space="preserve"> IEC provides the requirements and test specification for the onboard user equipment, based on the output from IMO and ITU.</w:t>
      </w:r>
    </w:p>
    <w:p w14:paraId="7E2F616F" w14:textId="01E24613" w:rsidR="0006783B" w:rsidRDefault="0006783B" w:rsidP="0006783B">
      <w:pPr>
        <w:pStyle w:val="BodyText"/>
      </w:pPr>
      <w:r>
        <w:t>The Radio Technical Commission for Maritime Services (RTCM) is an international non-profit scientific, professional and educational organization.</w:t>
      </w:r>
      <w:r w:rsidR="00B30098">
        <w:t xml:space="preserve"> </w:t>
      </w:r>
      <w:r>
        <w:t xml:space="preserve"> RTCM prepares recommendations for maritime radio equipment and services, which may</w:t>
      </w:r>
      <w:r w:rsidR="00BE34AF">
        <w:t xml:space="preserve"> be used in IEC specifications.</w:t>
      </w:r>
    </w:p>
    <w:p w14:paraId="7AB9E2BF" w14:textId="7E197987" w:rsidR="0006783B" w:rsidRDefault="0006783B" w:rsidP="00AD067C">
      <w:pPr>
        <w:pStyle w:val="Heading3"/>
      </w:pPr>
      <w:bookmarkStart w:id="46" w:name="_Toc336181788"/>
      <w:r>
        <w:t>The Status of Loran Documentation</w:t>
      </w:r>
      <w:bookmarkEnd w:id="46"/>
    </w:p>
    <w:p w14:paraId="483CAA4E" w14:textId="77777777" w:rsidR="0006783B" w:rsidRDefault="0006783B" w:rsidP="0006783B">
      <w:pPr>
        <w:pStyle w:val="BodyText"/>
      </w:pPr>
      <w:r>
        <w:t>There are existing IMO, ITU, RTCM and IEC standards and recommendations for Loran, but these are for Loran-C and relate to outdated technology.</w:t>
      </w:r>
    </w:p>
    <w:p w14:paraId="5A5E41FC" w14:textId="77777777" w:rsidR="0006783B" w:rsidRDefault="0006783B" w:rsidP="00AD067C">
      <w:pPr>
        <w:pStyle w:val="Heading4"/>
      </w:pPr>
      <w:r>
        <w:t>ILA &amp; RTCM</w:t>
      </w:r>
    </w:p>
    <w:p w14:paraId="6D163D9B" w14:textId="3A0E5121" w:rsidR="0006783B" w:rsidRDefault="0006783B" w:rsidP="0006783B">
      <w:pPr>
        <w:pStyle w:val="BodyText"/>
      </w:pPr>
      <w:r>
        <w:t>The International Loran Association (ILA – now defunct) produced documentation for eLoran. In 2007 the ILA published an eLoran Definition Document and this is the starting point for preparing performance standards and</w:t>
      </w:r>
      <w:r w:rsidR="00CB380B">
        <w:t xml:space="preserve"> an interface control document.</w:t>
      </w:r>
    </w:p>
    <w:p w14:paraId="09465414" w14:textId="7AE65004" w:rsidR="0006783B" w:rsidRDefault="0006783B" w:rsidP="0006783B">
      <w:pPr>
        <w:pStyle w:val="BodyText"/>
      </w:pPr>
      <w:r>
        <w:t xml:space="preserve">RTCM established Special Committee 127 (SC-127) for eLoran and a new RTCM performance standard is being developed, including a final signal specification for </w:t>
      </w:r>
      <w:r w:rsidR="00CB380B">
        <w:t>D</w:t>
      </w:r>
      <w:r>
        <w:t xml:space="preserve">Loran correction characteristics. </w:t>
      </w:r>
      <w:r w:rsidR="00CB380B">
        <w:t xml:space="preserve"> </w:t>
      </w:r>
      <w:r>
        <w:t xml:space="preserve">The draft receiver standard has been adopted by </w:t>
      </w:r>
      <w:r w:rsidRPr="00CB380B">
        <w:t>SC-127</w:t>
      </w:r>
      <w:r>
        <w:t xml:space="preserve"> and may pr</w:t>
      </w:r>
      <w:r w:rsidR="00CB380B">
        <w:t>ovide input to an IEC document.</w:t>
      </w:r>
    </w:p>
    <w:p w14:paraId="26A71020" w14:textId="685845D4" w:rsidR="0006783B" w:rsidRDefault="0006783B" w:rsidP="0006783B">
      <w:pPr>
        <w:pStyle w:val="BodyText"/>
      </w:pPr>
      <w:r>
        <w:t xml:space="preserve">RTCM also set up Special Committee 131 (SC-131) on Multi-system Shipborne Navigation Receivers. </w:t>
      </w:r>
      <w:r w:rsidR="00CB380B">
        <w:t xml:space="preserve"> </w:t>
      </w:r>
      <w:r>
        <w:t xml:space="preserve">New draft Performance Standards for Multi-system Navigation Receivers were finalised and approved by IMO in June 2015 for implementation in 2017. </w:t>
      </w:r>
      <w:r w:rsidR="00CB380B">
        <w:t xml:space="preserve"> </w:t>
      </w:r>
      <w:r>
        <w:t>SC-131 has also prepared a specification to be provided to IEC as a draft Requ</w:t>
      </w:r>
      <w:r w:rsidR="00CB380B">
        <w:t>irements and Testing standard.</w:t>
      </w:r>
    </w:p>
    <w:p w14:paraId="72226547" w14:textId="77777777" w:rsidR="0006783B" w:rsidRDefault="0006783B" w:rsidP="00AD067C">
      <w:pPr>
        <w:pStyle w:val="Heading4"/>
      </w:pPr>
      <w:r>
        <w:t>ITU – Technical Characteristics &amp; Spectrum Requirements</w:t>
      </w:r>
    </w:p>
    <w:p w14:paraId="4EFB4A13" w14:textId="1D7BD433" w:rsidR="0006783B" w:rsidRDefault="0006783B" w:rsidP="0006783B">
      <w:pPr>
        <w:pStyle w:val="BodyText"/>
      </w:pPr>
      <w:r>
        <w:t>Recommendation M.589-3 (08/01) already provides technical characteristics for tri-state data transmission and interference protection.</w:t>
      </w:r>
      <w:r w:rsidR="00CB380B">
        <w:t xml:space="preserve"> </w:t>
      </w:r>
      <w:r>
        <w:t xml:space="preserve"> It requires revision and the addition of an annex giving more detail of the m</w:t>
      </w:r>
      <w:r w:rsidR="00AD067C">
        <w:t>odulation system to be adopted.</w:t>
      </w:r>
    </w:p>
    <w:p w14:paraId="195592DF" w14:textId="77777777" w:rsidR="0006783B" w:rsidRDefault="0006783B" w:rsidP="00AD067C">
      <w:pPr>
        <w:pStyle w:val="Heading4"/>
      </w:pPr>
      <w:r>
        <w:t>IMO – Performance Standards &amp; WWRNS Recognition</w:t>
      </w:r>
    </w:p>
    <w:p w14:paraId="02F031EF" w14:textId="32885782" w:rsidR="0006783B" w:rsidRDefault="0006783B" w:rsidP="0006783B">
      <w:pPr>
        <w:pStyle w:val="BodyText"/>
      </w:pPr>
      <w:r>
        <w:t xml:space="preserve">IMO Resolution A.818(19) contains performance standards for Loran-C, based on long out-of-date technology. </w:t>
      </w:r>
      <w:r w:rsidR="00CB380B">
        <w:t xml:space="preserve"> </w:t>
      </w:r>
      <w:r>
        <w:t>A new resolution is required before a World Wide Radio Navigation System (WWRNS) submission could be made.</w:t>
      </w:r>
    </w:p>
    <w:p w14:paraId="5F33BE3E" w14:textId="2398A458" w:rsidR="0006783B" w:rsidRDefault="0006783B" w:rsidP="0006783B">
      <w:pPr>
        <w:pStyle w:val="BodyText"/>
      </w:pPr>
      <w:r>
        <w:t xml:space="preserve">The IMO Performance Standards for Multi-system Receivers contain a reference to PNT Guidelines, which mainly refer to onboard systems and have yet to be fully developed. </w:t>
      </w:r>
    </w:p>
    <w:p w14:paraId="5F163E97" w14:textId="77777777" w:rsidR="0006783B" w:rsidRDefault="0006783B" w:rsidP="00AD067C">
      <w:pPr>
        <w:pStyle w:val="Heading4"/>
      </w:pPr>
      <w:r>
        <w:t>IEC – Equipment Test Standards</w:t>
      </w:r>
    </w:p>
    <w:p w14:paraId="16292760" w14:textId="7986B1E0" w:rsidR="0006783B" w:rsidRDefault="0006783B" w:rsidP="0006783B">
      <w:pPr>
        <w:pStyle w:val="BodyText"/>
      </w:pPr>
      <w:r>
        <w:t>IEC document 61075 Ed. 1.0 (1991-07) “Loran-C receivers for ships – Minimum performance standards, methods of testing and required test results” is based on an RTCM standard from the 1980s and is</w:t>
      </w:r>
      <w:r w:rsidR="00AD067C">
        <w:t xml:space="preserve"> not relevant to modern Loran.</w:t>
      </w:r>
    </w:p>
    <w:p w14:paraId="43D84E3D" w14:textId="77777777" w:rsidR="0006783B" w:rsidRDefault="0006783B" w:rsidP="00AD067C">
      <w:pPr>
        <w:pStyle w:val="Heading4"/>
      </w:pPr>
      <w:r>
        <w:t>IALA – Operational Standards for Service Providers, Database of stations &amp; GRIs</w:t>
      </w:r>
    </w:p>
    <w:p w14:paraId="5C3E551F" w14:textId="000FB539" w:rsidR="0006783B" w:rsidRDefault="0006783B" w:rsidP="0006783B">
      <w:pPr>
        <w:pStyle w:val="BodyText"/>
      </w:pPr>
      <w:r>
        <w:t>The database of transmitting stations and GRIs, maintained by IALA, should be updated as an S-200 series Product Specification as new data is produced o</w:t>
      </w:r>
      <w:r w:rsidR="00CB380B">
        <w:t>r changes are made to almanacs.</w:t>
      </w:r>
    </w:p>
    <w:p w14:paraId="5E5473BB" w14:textId="77777777" w:rsidR="0006783B" w:rsidRDefault="0006783B" w:rsidP="0006783B">
      <w:pPr>
        <w:pStyle w:val="BodyText"/>
      </w:pPr>
      <w:r>
        <w:t>IALA is likely to be involved in developing guidelines for PNT infrastructure that could include terrestrial systems as backups to GNSS.</w:t>
      </w:r>
    </w:p>
    <w:p w14:paraId="765936E8" w14:textId="2F01F551" w:rsidR="00FF4C48" w:rsidRDefault="00AD067C" w:rsidP="00AD067C">
      <w:pPr>
        <w:pStyle w:val="Heading1"/>
      </w:pPr>
      <w:bookmarkStart w:id="47" w:name="_Toc336181789"/>
      <w:r>
        <w:t xml:space="preserve">THE PROCESS OF ESTABLISHING AN </w:t>
      </w:r>
      <w:r>
        <w:rPr>
          <w:caps w:val="0"/>
        </w:rPr>
        <w:t>e</w:t>
      </w:r>
      <w:r>
        <w:t>LORAN SERVICE</w:t>
      </w:r>
      <w:bookmarkEnd w:id="47"/>
    </w:p>
    <w:p w14:paraId="792CFC50" w14:textId="77777777" w:rsidR="00AD067C" w:rsidRPr="00AD067C" w:rsidRDefault="00AD067C" w:rsidP="00AD067C">
      <w:pPr>
        <w:pStyle w:val="Heading1separatationline"/>
      </w:pPr>
    </w:p>
    <w:p w14:paraId="7CF5D8DE" w14:textId="64C83713" w:rsidR="00AD067C" w:rsidRDefault="00CB380B" w:rsidP="00AD067C">
      <w:pPr>
        <w:pStyle w:val="BodyText"/>
      </w:pPr>
      <w:r>
        <w:t xml:space="preserve">This </w:t>
      </w:r>
      <w:r w:rsidR="00AD067C">
        <w:t>section provides an overview on how a maritime service provider could establish an eLoran service. Essential background to this process can be found in the e</w:t>
      </w:r>
      <w:r>
        <w:t xml:space="preserve">ssential reading list of </w:t>
      </w:r>
      <w:r>
        <w:fldChar w:fldCharType="begin"/>
      </w:r>
      <w:r>
        <w:instrText xml:space="preserve"> REF _Ref453865648 \r \h </w:instrText>
      </w:r>
      <w:r>
        <w:fldChar w:fldCharType="separate"/>
      </w:r>
      <w:r>
        <w:t>Table 3</w:t>
      </w:r>
      <w:r>
        <w:fldChar w:fldCharType="end"/>
      </w:r>
      <w:r w:rsidR="00AD067C">
        <w:t>, other required reading material is also identified in order to orientate the service provider or its</w:t>
      </w:r>
      <w:r>
        <w:t xml:space="preserve"> contractor to the technology.</w:t>
      </w:r>
    </w:p>
    <w:p w14:paraId="64784741" w14:textId="58EC79D8" w:rsidR="00AD067C" w:rsidRDefault="00AD067C" w:rsidP="00AD067C">
      <w:pPr>
        <w:pStyle w:val="BodyText"/>
      </w:pPr>
      <w:r>
        <w:t>Consideration must be given to the following aspects:</w:t>
      </w:r>
    </w:p>
    <w:p w14:paraId="75527C26" w14:textId="05E0D9A9" w:rsidR="00AD067C" w:rsidRDefault="00565D6B" w:rsidP="00AD067C">
      <w:pPr>
        <w:pStyle w:val="Bullet1"/>
      </w:pPr>
      <w:r>
        <w:t>t</w:t>
      </w:r>
      <w:r w:rsidR="00AD067C">
        <w:t>ransmitters – location, number, GRI, size of antennas and Effective Radiated Power (ERP). Also the physical security of the sites; and repair / maintenance duties;</w:t>
      </w:r>
    </w:p>
    <w:p w14:paraId="7871C173" w14:textId="1C60C2A4" w:rsidR="00AD067C" w:rsidRDefault="00AD067C" w:rsidP="00AD067C">
      <w:pPr>
        <w:pStyle w:val="Bullet1"/>
      </w:pPr>
      <w:r>
        <w:t>Control Centre(s) – location, duties, Time of Emission (TOE) control;</w:t>
      </w:r>
    </w:p>
    <w:p w14:paraId="3F175E86" w14:textId="775E5059" w:rsidR="00AD067C" w:rsidRDefault="00AD067C" w:rsidP="00AD067C">
      <w:pPr>
        <w:pStyle w:val="Bullet1"/>
      </w:pPr>
      <w:r>
        <w:t>Differential-Loran (DLoran) Reference Stations – location, number and LDC data bandwidth requirements;</w:t>
      </w:r>
    </w:p>
    <w:p w14:paraId="7E921D5B" w14:textId="7084C8B7" w:rsidR="00AD067C" w:rsidRDefault="00565D6B" w:rsidP="00AD067C">
      <w:pPr>
        <w:pStyle w:val="Bullet1"/>
      </w:pPr>
      <w:r>
        <w:t>d</w:t>
      </w:r>
      <w:r w:rsidR="00AD067C">
        <w:t>ata communications backbone for transmitters and DLoran reference stations – ar</w:t>
      </w:r>
      <w:r>
        <w:t>chitecture, design and security</w:t>
      </w:r>
      <w:r w:rsidR="00AD067C">
        <w:t>;</w:t>
      </w:r>
    </w:p>
    <w:p w14:paraId="467D34BA" w14:textId="3666E03B" w:rsidR="00AD067C" w:rsidRDefault="00565D6B" w:rsidP="00AD067C">
      <w:pPr>
        <w:pStyle w:val="Bullet1"/>
      </w:pPr>
      <w:r>
        <w:t>i</w:t>
      </w:r>
      <w:r w:rsidR="00AD067C">
        <w:t>nfrastructure based integrity monitoring – ‘early skywave’ effects, transmitter and reference station health and status monitoring and reporting;</w:t>
      </w:r>
    </w:p>
    <w:p w14:paraId="4C5CA966" w14:textId="110F2C04" w:rsidR="00AD067C" w:rsidRDefault="00565D6B" w:rsidP="00AD067C">
      <w:pPr>
        <w:pStyle w:val="Bullet1"/>
      </w:pPr>
      <w:r>
        <w:t>a</w:t>
      </w:r>
      <w:r w:rsidR="00AD067C">
        <w:t>dditional Secondary Factor (ASF) surveys for Port Approach Voyage Phase;</w:t>
      </w:r>
    </w:p>
    <w:p w14:paraId="19DB8220" w14:textId="56703016" w:rsidR="00AD067C" w:rsidRDefault="00565D6B" w:rsidP="00AD067C">
      <w:pPr>
        <w:pStyle w:val="Bullet1"/>
      </w:pPr>
      <w:r>
        <w:t>a</w:t>
      </w:r>
      <w:r w:rsidR="00AD067C">
        <w:t>dditional Secondary Factor data for Coastal Voyage Phase;</w:t>
      </w:r>
    </w:p>
    <w:p w14:paraId="151BD7D3" w14:textId="4FDBB4B0" w:rsidR="00AD067C" w:rsidRDefault="00AD067C" w:rsidP="00AD067C">
      <w:pPr>
        <w:pStyle w:val="Bullet1"/>
      </w:pPr>
      <w:r>
        <w:t>ASF database publication and updates;</w:t>
      </w:r>
    </w:p>
    <w:p w14:paraId="68337717" w14:textId="58FF27AD" w:rsidR="00AD067C" w:rsidRDefault="00565D6B" w:rsidP="00AD067C">
      <w:pPr>
        <w:pStyle w:val="Bullet1"/>
      </w:pPr>
      <w:r>
        <w:t>t</w:t>
      </w:r>
      <w:r w:rsidR="00AD067C">
        <w:t>ransmitter and DLoran reference station almanac publication;</w:t>
      </w:r>
    </w:p>
    <w:p w14:paraId="196CAB76" w14:textId="7FAB65AD" w:rsidR="00AD067C" w:rsidRDefault="00AD067C" w:rsidP="00AD067C">
      <w:pPr>
        <w:pStyle w:val="Bullet1"/>
      </w:pPr>
      <w:r>
        <w:t>L</w:t>
      </w:r>
      <w:r w:rsidR="00D93B8E">
        <w:t>DC</w:t>
      </w:r>
      <w:r>
        <w:t xml:space="preserve"> - including message types, structure, encryption and data bandwidth requirements;</w:t>
      </w:r>
    </w:p>
    <w:p w14:paraId="4148D036" w14:textId="45034667" w:rsidR="00AD067C" w:rsidRDefault="00565D6B" w:rsidP="00AD067C">
      <w:pPr>
        <w:pStyle w:val="Bullet1"/>
      </w:pPr>
      <w:r>
        <w:t>d</w:t>
      </w:r>
      <w:r w:rsidR="00AD067C">
        <w:t xml:space="preserve">evelopment of </w:t>
      </w:r>
      <w:r>
        <w:t>s</w:t>
      </w:r>
      <w:r w:rsidR="00AD067C">
        <w:t>tandards (both National and International) including equipage requirements for vessels operating in Ser</w:t>
      </w:r>
      <w:r w:rsidR="001B7EC2">
        <w:t>vice Provider’s national waters;</w:t>
      </w:r>
    </w:p>
    <w:p w14:paraId="0CDAE802" w14:textId="2697CBE4" w:rsidR="001B7EC2" w:rsidRDefault="001B7EC2" w:rsidP="00AD067C">
      <w:pPr>
        <w:pStyle w:val="Bullet1"/>
      </w:pPr>
      <w:r w:rsidRPr="001B7EC2">
        <w:t>Engagement of user-groups, educational and publicity output to establish a user-base</w:t>
      </w:r>
      <w:r>
        <w:t>.</w:t>
      </w:r>
    </w:p>
    <w:p w14:paraId="43ADDAFC" w14:textId="5BCDD003" w:rsidR="00AD067C" w:rsidRDefault="00AD067C" w:rsidP="00AD067C">
      <w:pPr>
        <w:pStyle w:val="BodyText"/>
      </w:pPr>
      <w:r>
        <w:t>As a guide for further investigation each of the steps involved is outlined below:</w:t>
      </w:r>
    </w:p>
    <w:p w14:paraId="7FB6BEE6" w14:textId="07FAF2B1" w:rsidR="00AD067C" w:rsidRDefault="00AD067C" w:rsidP="008E7A4F">
      <w:pPr>
        <w:pStyle w:val="List1"/>
        <w:numPr>
          <w:ilvl w:val="0"/>
          <w:numId w:val="33"/>
        </w:numPr>
      </w:pPr>
      <w:r>
        <w:t>System coverage prediction and analysis:</w:t>
      </w:r>
    </w:p>
    <w:p w14:paraId="20C67717" w14:textId="413D2354" w:rsidR="00AD067C" w:rsidRDefault="00AD067C" w:rsidP="00AD067C">
      <w:pPr>
        <w:pStyle w:val="Lista"/>
      </w:pPr>
      <w:r>
        <w:t>Obtain/develop software or consultancy to perform coverage prediction.</w:t>
      </w:r>
    </w:p>
    <w:p w14:paraId="78D378CE" w14:textId="6ECAF4F3" w:rsidR="00AD067C" w:rsidRDefault="00AD067C" w:rsidP="00AD067C">
      <w:pPr>
        <w:pStyle w:val="Lista"/>
      </w:pPr>
      <w:r>
        <w:t xml:space="preserve">Determine the </w:t>
      </w:r>
      <w:r w:rsidR="00CB380B">
        <w:t>ERP</w:t>
      </w:r>
      <w:r>
        <w:t xml:space="preserve"> required for the transmitters to support the intended application.</w:t>
      </w:r>
    </w:p>
    <w:p w14:paraId="63CE73AA" w14:textId="311213C7" w:rsidR="00AD067C" w:rsidRDefault="00AD067C" w:rsidP="00AD067C">
      <w:pPr>
        <w:pStyle w:val="Lista"/>
      </w:pPr>
      <w:r>
        <w:t>Analyse the resulting predictions of accuracy, integrity, availability and continuity and determine their adequacy.</w:t>
      </w:r>
    </w:p>
    <w:p w14:paraId="40ED8863" w14:textId="02AFC9F2" w:rsidR="00AD067C" w:rsidRDefault="00AD067C" w:rsidP="00AD067C">
      <w:pPr>
        <w:pStyle w:val="Lista"/>
      </w:pPr>
      <w:r>
        <w:t>Consider additional or alternate transmitter configurations and iterate the process from point b as required.</w:t>
      </w:r>
    </w:p>
    <w:p w14:paraId="73961974" w14:textId="2881A39E" w:rsidR="00AD067C" w:rsidRDefault="00AD067C" w:rsidP="00AD067C">
      <w:pPr>
        <w:pStyle w:val="List1"/>
      </w:pPr>
      <w:r>
        <w:t>Use coverage predictions to identify candidate locations for the establishment of new eLoran transmitters:</w:t>
      </w:r>
    </w:p>
    <w:p w14:paraId="2C71E596" w14:textId="7335A8AB" w:rsidR="00AD067C" w:rsidRDefault="00AD067C" w:rsidP="00AD067C">
      <w:pPr>
        <w:pStyle w:val="Lista"/>
      </w:pPr>
      <w:r>
        <w:t>Ensure that proposed transmitter sites are able to support the size of antenna structure required to provide the desired ERP</w:t>
      </w:r>
      <w:r w:rsidR="001B7EC2" w:rsidRPr="002E6F0C">
        <w:rPr>
          <w:rFonts w:cs="Arial"/>
        </w:rPr>
        <w:t xml:space="preserve">; also consider site infrastructure, power, data communications, </w:t>
      </w:r>
      <w:r w:rsidR="001B7EC2">
        <w:rPr>
          <w:rFonts w:cs="Arial"/>
        </w:rPr>
        <w:t>security, land availability etc</w:t>
      </w:r>
      <w:r>
        <w:t>.</w:t>
      </w:r>
    </w:p>
    <w:p w14:paraId="28816364" w14:textId="56FB039C" w:rsidR="00AD067C" w:rsidRDefault="00AD067C" w:rsidP="00AD067C">
      <w:pPr>
        <w:pStyle w:val="List1"/>
      </w:pPr>
      <w:r>
        <w:t>For the set of transmitters, select an operating GRI and a set of transmitter designators:</w:t>
      </w:r>
    </w:p>
    <w:p w14:paraId="06CEBA24" w14:textId="76C65601" w:rsidR="00AD067C" w:rsidRDefault="00AD067C" w:rsidP="00AD067C">
      <w:pPr>
        <w:pStyle w:val="Lista"/>
      </w:pPr>
      <w:r>
        <w:t>eLoran stations may in future operate only on a single GRI, thus reducing Cross-Rate Interference (CRI).</w:t>
      </w:r>
    </w:p>
    <w:p w14:paraId="43C79D24" w14:textId="31DE5881" w:rsidR="00AD067C" w:rsidRDefault="00AD067C" w:rsidP="00AD067C">
      <w:pPr>
        <w:pStyle w:val="Lista"/>
      </w:pPr>
      <w:r>
        <w:t>Establish the Emission Delays of each of the secondary transmitters.</w:t>
      </w:r>
    </w:p>
    <w:p w14:paraId="5BE45268" w14:textId="39F61552" w:rsidR="00AD067C" w:rsidRDefault="00AD067C" w:rsidP="00AD067C">
      <w:pPr>
        <w:pStyle w:val="Lista"/>
      </w:pPr>
      <w:r>
        <w:t>Note that for one or two additional transmitters there may be space available in the GRI of an existing set of transmitters covering the region.</w:t>
      </w:r>
    </w:p>
    <w:p w14:paraId="13006C15" w14:textId="177CA4D6" w:rsidR="00AD067C" w:rsidRDefault="00AD067C" w:rsidP="00AD067C">
      <w:pPr>
        <w:pStyle w:val="Lista"/>
      </w:pPr>
      <w:r>
        <w:t>Consider the inter</w:t>
      </w:r>
      <w:r w:rsidR="00D93B8E">
        <w:t>operability of neighbouring GRI</w:t>
      </w:r>
      <w:r>
        <w:t xml:space="preserve"> to minimise the effect of C</w:t>
      </w:r>
      <w:r w:rsidR="00D93B8E">
        <w:t>RI</w:t>
      </w:r>
      <w:r>
        <w:t>.</w:t>
      </w:r>
    </w:p>
    <w:p w14:paraId="123F1795" w14:textId="5CD94855" w:rsidR="00AD067C" w:rsidRDefault="00AD067C" w:rsidP="00AD067C">
      <w:pPr>
        <w:pStyle w:val="List1"/>
      </w:pPr>
      <w:r>
        <w:t>Install transmitters:</w:t>
      </w:r>
    </w:p>
    <w:p w14:paraId="19785A37" w14:textId="16B8D68C" w:rsidR="00AD067C" w:rsidRDefault="00AD067C" w:rsidP="00AD067C">
      <w:pPr>
        <w:pStyle w:val="Lista"/>
      </w:pPr>
      <w:r>
        <w:t>Establish contracts with site providers.</w:t>
      </w:r>
    </w:p>
    <w:p w14:paraId="3929B477" w14:textId="4C0B8164" w:rsidR="00AD067C" w:rsidRDefault="00AD067C" w:rsidP="00AD067C">
      <w:pPr>
        <w:pStyle w:val="Lista"/>
      </w:pPr>
      <w:r>
        <w:t>Procure transmitters and maintenance contracts.</w:t>
      </w:r>
    </w:p>
    <w:p w14:paraId="0FFD13D2" w14:textId="706FAC92" w:rsidR="00AD067C" w:rsidRDefault="00AD067C" w:rsidP="00AD067C">
      <w:pPr>
        <w:pStyle w:val="Lista"/>
      </w:pPr>
      <w:r>
        <w:t>Install transmitters.</w:t>
      </w:r>
    </w:p>
    <w:p w14:paraId="7AEE29EA" w14:textId="30AF9269" w:rsidR="00AD067C" w:rsidRDefault="00AD067C" w:rsidP="00AD067C">
      <w:pPr>
        <w:pStyle w:val="Lista"/>
      </w:pPr>
      <w:r>
        <w:t>Establish an eLoran Control/Monitoring Centre if required or make arrangements for transmitters to be integrated into an existing regional control/monitoring centre.</w:t>
      </w:r>
    </w:p>
    <w:p w14:paraId="0DD5CD0F" w14:textId="78A43CB7" w:rsidR="00AD067C" w:rsidRDefault="00AD067C" w:rsidP="00AD067C">
      <w:pPr>
        <w:pStyle w:val="List1"/>
      </w:pPr>
      <w:r>
        <w:t>Establish Applications - Voyage Phase Requirements:</w:t>
      </w:r>
    </w:p>
    <w:p w14:paraId="4F28DBA0" w14:textId="4FBA286C" w:rsidR="00AD067C" w:rsidRDefault="00AD067C" w:rsidP="00AD067C">
      <w:pPr>
        <w:pStyle w:val="Lista"/>
      </w:pPr>
      <w:r>
        <w:t>Identify the Voyage Phase required for specific regions around the service provider’s territory; Port Approach Voyage Phase or Coastal Voyage Phase.</w:t>
      </w:r>
    </w:p>
    <w:p w14:paraId="6D7E56C0" w14:textId="33AD9F76" w:rsidR="00AD067C" w:rsidRDefault="00AD067C" w:rsidP="00AD067C">
      <w:pPr>
        <w:pStyle w:val="Lista"/>
      </w:pPr>
      <w:r>
        <w:t>For Port Approach Voyage Phase (requiring ~10 m accuracy):</w:t>
      </w:r>
    </w:p>
    <w:p w14:paraId="22D2E47C" w14:textId="60AD5FC8" w:rsidR="00AD067C" w:rsidRPr="00AD067C" w:rsidRDefault="00AD067C" w:rsidP="00AD067C">
      <w:pPr>
        <w:pStyle w:val="Listi"/>
      </w:pPr>
      <w:r w:rsidRPr="00AD067C">
        <w:t>Identify Ports to be served</w:t>
      </w:r>
      <w:r w:rsidR="00565D6B">
        <w:t>.</w:t>
      </w:r>
    </w:p>
    <w:p w14:paraId="0F942FB5" w14:textId="764074F6" w:rsidR="00AD067C" w:rsidRPr="00AD067C" w:rsidRDefault="00AD067C" w:rsidP="00AD067C">
      <w:pPr>
        <w:pStyle w:val="Listi"/>
      </w:pPr>
      <w:r w:rsidRPr="00AD067C">
        <w:t>Identify locations for the installation of differential Loran reference stations</w:t>
      </w:r>
      <w:r w:rsidR="00565D6B">
        <w:t>.</w:t>
      </w:r>
    </w:p>
    <w:p w14:paraId="42F6F13F" w14:textId="5D657598" w:rsidR="00AD067C" w:rsidRPr="00AD067C" w:rsidRDefault="00AD067C" w:rsidP="00AD067C">
      <w:pPr>
        <w:pStyle w:val="Listi"/>
      </w:pPr>
      <w:r w:rsidRPr="00AD067C">
        <w:t>Plan an ASF measurement survey based on the extent of the port’s VTS (Vessel Traffic Service) coverage area, or vessel confluence zone</w:t>
      </w:r>
      <w:r w:rsidR="001B7EC2" w:rsidRPr="002E6F0C">
        <w:rPr>
          <w:rFonts w:cs="Arial"/>
        </w:rPr>
        <w:t>, and the expected vessel traffic density. In some cases the range of the reference-station (nominally 30k</w:t>
      </w:r>
      <w:r w:rsidR="001B7EC2">
        <w:rPr>
          <w:rFonts w:cs="Arial"/>
        </w:rPr>
        <w:t>m) will limit the coverage area</w:t>
      </w:r>
      <w:r w:rsidR="00565D6B">
        <w:t>.</w:t>
      </w:r>
    </w:p>
    <w:p w14:paraId="1691C419" w14:textId="409E121B" w:rsidR="00AD067C" w:rsidRPr="00AD067C" w:rsidRDefault="00AD067C" w:rsidP="00AD067C">
      <w:pPr>
        <w:pStyle w:val="Listi"/>
      </w:pPr>
      <w:r w:rsidRPr="00AD067C">
        <w:t xml:space="preserve">Establish the </w:t>
      </w:r>
      <w:r w:rsidR="00CB380B">
        <w:t>D</w:t>
      </w:r>
      <w:r w:rsidRPr="00AD067C">
        <w:t>Loran reference station(s) and incorporate the generated differential corrections into the LDC</w:t>
      </w:r>
      <w:r w:rsidR="00565D6B">
        <w:t>.</w:t>
      </w:r>
    </w:p>
    <w:p w14:paraId="711CAE1F" w14:textId="3D2073FC" w:rsidR="00AD067C" w:rsidRPr="00AD067C" w:rsidRDefault="00AD067C" w:rsidP="00AD067C">
      <w:pPr>
        <w:pStyle w:val="Listi"/>
      </w:pPr>
      <w:r w:rsidRPr="00AD067C">
        <w:t>Perform ASF measurement survey ensuring all transmitters are on air</w:t>
      </w:r>
      <w:r w:rsidR="00565D6B">
        <w:t>.</w:t>
      </w:r>
    </w:p>
    <w:p w14:paraId="7450E08E" w14:textId="210E5F25" w:rsidR="00AD067C" w:rsidRPr="00AD067C" w:rsidRDefault="00AD067C" w:rsidP="00AD067C">
      <w:pPr>
        <w:pStyle w:val="Listi"/>
      </w:pPr>
      <w:r w:rsidRPr="00AD067C">
        <w:t>Process the ASF data</w:t>
      </w:r>
      <w:r w:rsidR="00565D6B">
        <w:t>.</w:t>
      </w:r>
    </w:p>
    <w:p w14:paraId="5DC3AD2E" w14:textId="51E06BA1" w:rsidR="00AD067C" w:rsidRPr="00AD067C" w:rsidRDefault="00AD067C" w:rsidP="00AD067C">
      <w:pPr>
        <w:pStyle w:val="Listi"/>
      </w:pPr>
      <w:r w:rsidRPr="00AD067C">
        <w:t xml:space="preserve">Perform validation of the ASF data, by assessing the performance of </w:t>
      </w:r>
      <w:r w:rsidR="00CB380B">
        <w:t>D</w:t>
      </w:r>
      <w:r w:rsidRPr="00AD067C">
        <w:t>Loran for each port approach</w:t>
      </w:r>
      <w:r w:rsidR="00565D6B">
        <w:t>.</w:t>
      </w:r>
    </w:p>
    <w:p w14:paraId="0CDA147A" w14:textId="349D9B57" w:rsidR="00AD067C" w:rsidRDefault="00AD067C" w:rsidP="00AD067C">
      <w:pPr>
        <w:pStyle w:val="Listi"/>
      </w:pPr>
      <w:r w:rsidRPr="00AD067C">
        <w:t xml:space="preserve">Publish data </w:t>
      </w:r>
      <w:r>
        <w:t>to receiver manufacturers</w:t>
      </w:r>
      <w:r w:rsidR="00565D6B">
        <w:t>.</w:t>
      </w:r>
    </w:p>
    <w:p w14:paraId="25504B0A" w14:textId="1BBB4D35" w:rsidR="00AD067C" w:rsidRDefault="00AD067C" w:rsidP="00565D6B">
      <w:pPr>
        <w:pStyle w:val="Lista"/>
      </w:pPr>
      <w:r>
        <w:t>For Coastal Voyage Phase (requiring not better than 10 m accuracy)</w:t>
      </w:r>
      <w:r w:rsidR="00565D6B">
        <w:t>:</w:t>
      </w:r>
    </w:p>
    <w:p w14:paraId="145B7363" w14:textId="47FE4ACB" w:rsidR="00AD067C" w:rsidRDefault="00AD067C" w:rsidP="00565D6B">
      <w:pPr>
        <w:pStyle w:val="Listi"/>
      </w:pPr>
      <w:r>
        <w:t>Identify coverage region</w:t>
      </w:r>
      <w:r w:rsidR="00565D6B">
        <w:t>.</w:t>
      </w:r>
    </w:p>
    <w:p w14:paraId="13664BA6" w14:textId="0188226B" w:rsidR="00AD067C" w:rsidRDefault="00AD067C" w:rsidP="00565D6B">
      <w:pPr>
        <w:pStyle w:val="Listi"/>
      </w:pPr>
      <w:r>
        <w:t>Produce ASF data using modelling software</w:t>
      </w:r>
      <w:r w:rsidR="00565D6B">
        <w:t>.</w:t>
      </w:r>
    </w:p>
    <w:p w14:paraId="5670D900" w14:textId="4CE4D531" w:rsidR="00AD067C" w:rsidRDefault="00AD067C" w:rsidP="00565D6B">
      <w:pPr>
        <w:pStyle w:val="Listi"/>
      </w:pPr>
      <w:r>
        <w:t>Establish a programme of automatic eLoran shipboard monitoring using service providers’ own vessels, or vessels of convenience owned by other ship operators that operate within the coverage area</w:t>
      </w:r>
      <w:r w:rsidR="00565D6B">
        <w:t>.</w:t>
      </w:r>
    </w:p>
    <w:p w14:paraId="4241A998" w14:textId="01D39F02" w:rsidR="00AD067C" w:rsidRDefault="00AD067C" w:rsidP="00565D6B">
      <w:pPr>
        <w:pStyle w:val="Listi"/>
      </w:pPr>
      <w:r>
        <w:t>Gather sufficient sparsely measured ASF data with which to calibrate the modelled ASF data</w:t>
      </w:r>
      <w:r w:rsidR="00565D6B">
        <w:t>.</w:t>
      </w:r>
    </w:p>
    <w:p w14:paraId="6C1408D4" w14:textId="2E87B9EA" w:rsidR="00AD067C" w:rsidRDefault="00AD067C" w:rsidP="00565D6B">
      <w:pPr>
        <w:pStyle w:val="Listi"/>
      </w:pPr>
      <w:r>
        <w:t>Perform validation of the calibrated modelled data using further data measured by the shipboard eLoran monitoring receivers</w:t>
      </w:r>
      <w:r w:rsidR="00565D6B">
        <w:t>.</w:t>
      </w:r>
    </w:p>
    <w:p w14:paraId="57A39A56" w14:textId="27F4039A" w:rsidR="00AD067C" w:rsidRDefault="00AD067C" w:rsidP="00565D6B">
      <w:pPr>
        <w:pStyle w:val="Listi"/>
      </w:pPr>
      <w:r>
        <w:t>Publish the ASF data for the Coastal Voyage Phase region to receiver manufacturers</w:t>
      </w:r>
      <w:r w:rsidR="00565D6B">
        <w:t>.</w:t>
      </w:r>
    </w:p>
    <w:p w14:paraId="0002D47E" w14:textId="68B9A1FE" w:rsidR="00AD067C" w:rsidRDefault="00AD067C" w:rsidP="00AD067C">
      <w:pPr>
        <w:pStyle w:val="BodyText"/>
      </w:pPr>
      <w:r>
        <w:t>The following sections discuss the above in further detail</w:t>
      </w:r>
      <w:r w:rsidR="00565D6B">
        <w:t>.</w:t>
      </w:r>
    </w:p>
    <w:p w14:paraId="079E90A3" w14:textId="34888B74" w:rsidR="00AD067C" w:rsidRDefault="00AD067C" w:rsidP="00565D6B">
      <w:pPr>
        <w:pStyle w:val="Heading2"/>
      </w:pPr>
      <w:bookmarkStart w:id="48" w:name="_Toc336181790"/>
      <w:r>
        <w:t>System Coverage Prediction and Analysis</w:t>
      </w:r>
      <w:bookmarkEnd w:id="48"/>
    </w:p>
    <w:p w14:paraId="755AB67B" w14:textId="77777777" w:rsidR="00565D6B" w:rsidRPr="00565D6B" w:rsidRDefault="00565D6B" w:rsidP="00565D6B">
      <w:pPr>
        <w:pStyle w:val="Heading2separationline"/>
      </w:pPr>
    </w:p>
    <w:p w14:paraId="279966DD" w14:textId="16AB74B6" w:rsidR="007D4931" w:rsidRDefault="00AD067C" w:rsidP="00AD067C">
      <w:pPr>
        <w:pStyle w:val="BodyText"/>
      </w:pPr>
      <w:r>
        <w:t>The first step in identifying a system configuration is to perform computer software based coverage modelling.</w:t>
      </w:r>
      <w:r w:rsidR="00CB380B">
        <w:t xml:space="preserve"> </w:t>
      </w:r>
      <w:r>
        <w:t xml:space="preserve"> Service providers are recommended to obtain or develop software for this purpose, or obtain consultancy from experts in this area. </w:t>
      </w:r>
      <w:r w:rsidR="00565D6B">
        <w:t xml:space="preserve"> </w:t>
      </w:r>
      <w:r>
        <w:t xml:space="preserve">Coverage predictions should allow the estimation of the geographical area over which the eLoran service will meet the application requirements outlined in </w:t>
      </w:r>
      <w:r w:rsidR="00565D6B">
        <w:fldChar w:fldCharType="begin"/>
      </w:r>
      <w:r w:rsidR="00565D6B">
        <w:instrText xml:space="preserve"> REF _Ref453911305 \r \h </w:instrText>
      </w:r>
      <w:r w:rsidR="00565D6B">
        <w:fldChar w:fldCharType="separate"/>
      </w:r>
      <w:r w:rsidR="00565D6B">
        <w:t>Table 1</w:t>
      </w:r>
      <w:r w:rsidR="00565D6B">
        <w:fldChar w:fldCharType="end"/>
      </w:r>
      <w:r w:rsidR="00565D6B">
        <w:t xml:space="preserve"> and </w:t>
      </w:r>
      <w:r w:rsidR="00565D6B">
        <w:fldChar w:fldCharType="begin"/>
      </w:r>
      <w:r w:rsidR="00565D6B">
        <w:instrText xml:space="preserve"> REF _Ref453865325 \r \h </w:instrText>
      </w:r>
      <w:r w:rsidR="00565D6B">
        <w:fldChar w:fldCharType="separate"/>
      </w:r>
      <w:r w:rsidR="00565D6B">
        <w:t>Table 2</w:t>
      </w:r>
      <w:r w:rsidR="00565D6B">
        <w:fldChar w:fldCharType="end"/>
      </w:r>
      <w:r>
        <w:t xml:space="preserve">. </w:t>
      </w:r>
      <w:r w:rsidR="00565D6B">
        <w:t xml:space="preserve"> </w:t>
      </w:r>
      <w:r>
        <w:t xml:space="preserve">The provider should start with estimates for the number and locations of required transmitters. </w:t>
      </w:r>
      <w:r w:rsidR="00565D6B">
        <w:t xml:space="preserve"> </w:t>
      </w:r>
      <w:r>
        <w:t>As a starting point, certain heuristics can be applied; for example, assuming a 250</w:t>
      </w:r>
      <w:r w:rsidR="00CB380B">
        <w:t xml:space="preserve"> </w:t>
      </w:r>
      <w:r>
        <w:t xml:space="preserve">kW ERP transmitter has an approximate range of 1000km, and that at least 3 transmitters are required to allow positioning, with 5 required to be received to provide full RAIM-type integrity within a user’s receiver. </w:t>
      </w:r>
      <w:r w:rsidR="00CB380B">
        <w:t xml:space="preserve"> </w:t>
      </w:r>
      <w:r>
        <w:t>Coverage prediction should be made for accuracy, integrit</w:t>
      </w:r>
      <w:r w:rsidR="00565D6B">
        <w:t>y, availability and continuity.</w:t>
      </w:r>
    </w:p>
    <w:p w14:paraId="759D9C87" w14:textId="35D694C5" w:rsidR="00AD067C" w:rsidRDefault="00AD067C" w:rsidP="00565D6B">
      <w:pPr>
        <w:pStyle w:val="Heading2"/>
      </w:pPr>
      <w:bookmarkStart w:id="49" w:name="_Toc336181791"/>
      <w:r>
        <w:t>Identify Locations for Transmitters</w:t>
      </w:r>
      <w:bookmarkEnd w:id="49"/>
    </w:p>
    <w:p w14:paraId="04160E94" w14:textId="77777777" w:rsidR="00565D6B" w:rsidRPr="00565D6B" w:rsidRDefault="00565D6B" w:rsidP="00565D6B">
      <w:pPr>
        <w:pStyle w:val="Heading2separationline"/>
      </w:pPr>
    </w:p>
    <w:p w14:paraId="7DBF2EAA" w14:textId="71708C0C" w:rsidR="00AD067C" w:rsidRDefault="00AD067C" w:rsidP="00AD067C">
      <w:pPr>
        <w:pStyle w:val="BodyText"/>
      </w:pPr>
      <w:r>
        <w:t>The analysis of coverage estimates will allow the provider to estimate the E</w:t>
      </w:r>
      <w:r w:rsidR="00D93B8E">
        <w:t>RP</w:t>
      </w:r>
      <w:r>
        <w:t xml:space="preserve"> required for each transmitter. </w:t>
      </w:r>
      <w:r w:rsidR="00565D6B">
        <w:t xml:space="preserve"> </w:t>
      </w:r>
      <w:r>
        <w:t xml:space="preserve">Knowing the required ERP will allow the provider to determine the type and size of antenna needed to be installed at a proposed transmitter site, and that will determine the location and size of the site itself. </w:t>
      </w:r>
      <w:r w:rsidR="00565D6B">
        <w:t xml:space="preserve"> </w:t>
      </w:r>
      <w:r>
        <w:t>The ERP of the transmitter may be constrained by the size of site available, in which case further coverage analysis will be required in order to confirm service performance resulting from the use of the proposed s</w:t>
      </w:r>
      <w:r w:rsidR="00565D6B">
        <w:t>ite.</w:t>
      </w:r>
    </w:p>
    <w:p w14:paraId="20F5E652" w14:textId="77777777" w:rsidR="007D4931" w:rsidRDefault="007D4931" w:rsidP="00AD067C">
      <w:pPr>
        <w:pStyle w:val="BodyText"/>
      </w:pPr>
    </w:p>
    <w:p w14:paraId="111DCCEC" w14:textId="750A622F" w:rsidR="007D4931" w:rsidRDefault="007D4931" w:rsidP="007D4931">
      <w:pPr>
        <w:pStyle w:val="BodyText"/>
      </w:pPr>
      <w:r w:rsidRPr="007D4931">
        <w:t>The analysis of coverage estimates will allow the provider to estimate the E</w:t>
      </w:r>
      <w:r>
        <w:t>RP</w:t>
      </w:r>
      <w:r w:rsidRPr="007D4931">
        <w:t xml:space="preserve"> required for each transmitter. Knowing the required ERP will allow the provider to determine the type and size of antenna needed to be installed at a proposed transmitter site, and that will determine the location and size of the site itself. The ERP of the transmitter may be constrained by the size of site available, in which case further coverage analysis will be required in order to confirm service performance resulting from the use of the proposed site. </w:t>
      </w:r>
      <w:r w:rsidRPr="002D2376">
        <w:t>Table 5</w:t>
      </w:r>
      <w:r w:rsidRPr="007D4931">
        <w:t xml:space="preserve"> illustrates some example data regarding transmitter output power versus antenna height and type. It can be seen that the selection of antenna type and height is not linear with desired power, but needs to take into account other factors. It is recommended that service providers liaise with an organisation offering expertise in the field of antennas.</w:t>
      </w:r>
    </w:p>
    <w:p w14:paraId="3F4B2FC2" w14:textId="79B80069" w:rsidR="007D4931" w:rsidRDefault="007D4931" w:rsidP="007D4931">
      <w:pPr>
        <w:pStyle w:val="Tablecaption"/>
        <w:jc w:val="center"/>
      </w:pPr>
      <w:bookmarkStart w:id="50" w:name="_Toc336178219"/>
      <w:r w:rsidRPr="007D4931">
        <w:t>Example (historical) antenna heights versus power and type</w:t>
      </w:r>
      <w:bookmarkEnd w:id="50"/>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83"/>
        <w:gridCol w:w="1623"/>
        <w:gridCol w:w="1713"/>
        <w:gridCol w:w="3318"/>
      </w:tblGrid>
      <w:tr w:rsidR="006B3DDF" w:rsidRPr="001C5060" w14:paraId="3F018C7B" w14:textId="77777777" w:rsidTr="006B3DDF">
        <w:trPr>
          <w:trHeight w:val="205"/>
          <w:jc w:val="center"/>
        </w:trPr>
        <w:tc>
          <w:tcPr>
            <w:tcW w:w="2383" w:type="dxa"/>
          </w:tcPr>
          <w:p w14:paraId="4273FDE4" w14:textId="11C86383" w:rsidR="007D4931" w:rsidRPr="00D45F89" w:rsidRDefault="007D4931" w:rsidP="007D4931">
            <w:pPr>
              <w:pStyle w:val="Tableheading"/>
            </w:pPr>
            <w:r w:rsidRPr="007D4931">
              <w:t>Transmitter</w:t>
            </w:r>
          </w:p>
        </w:tc>
        <w:tc>
          <w:tcPr>
            <w:tcW w:w="1623" w:type="dxa"/>
          </w:tcPr>
          <w:p w14:paraId="76DFFA8D" w14:textId="2D42B03D" w:rsidR="007D4931" w:rsidRPr="00D45F89" w:rsidRDefault="006B3DDF" w:rsidP="007D4931">
            <w:pPr>
              <w:pStyle w:val="Tableheading"/>
            </w:pPr>
            <w:r w:rsidRPr="006B3DDF">
              <w:t>ERP (kW)</w:t>
            </w:r>
          </w:p>
        </w:tc>
        <w:tc>
          <w:tcPr>
            <w:tcW w:w="1713" w:type="dxa"/>
          </w:tcPr>
          <w:p w14:paraId="1EEF1336" w14:textId="01D9D1FD" w:rsidR="007D4931" w:rsidRPr="00D45F89" w:rsidRDefault="006B3DDF" w:rsidP="007D4931">
            <w:pPr>
              <w:pStyle w:val="Tableheading"/>
            </w:pPr>
            <w:r w:rsidRPr="006B3DDF">
              <w:t>Antenna Height (m)</w:t>
            </w:r>
          </w:p>
        </w:tc>
        <w:tc>
          <w:tcPr>
            <w:tcW w:w="3318" w:type="dxa"/>
          </w:tcPr>
          <w:p w14:paraId="099BF48D" w14:textId="0871F7E9" w:rsidR="007D4931" w:rsidRPr="00D45F89" w:rsidRDefault="006B3DDF" w:rsidP="007D4931">
            <w:pPr>
              <w:pStyle w:val="Tableheading"/>
            </w:pPr>
            <w:r w:rsidRPr="006B3DDF">
              <w:t>Antenna type</w:t>
            </w:r>
          </w:p>
        </w:tc>
      </w:tr>
      <w:tr w:rsidR="006B3DDF" w:rsidRPr="001C5060" w14:paraId="35D5F740" w14:textId="77777777" w:rsidTr="006B3DDF">
        <w:trPr>
          <w:trHeight w:val="480"/>
          <w:jc w:val="center"/>
        </w:trPr>
        <w:tc>
          <w:tcPr>
            <w:tcW w:w="2383" w:type="dxa"/>
          </w:tcPr>
          <w:p w14:paraId="39771A8F" w14:textId="51821F56" w:rsidR="007D4931" w:rsidRPr="001C5060" w:rsidRDefault="007D4931" w:rsidP="007D4931">
            <w:pPr>
              <w:pStyle w:val="Tabletext"/>
            </w:pPr>
            <w:r w:rsidRPr="007D4931">
              <w:t>Bo, Norway</w:t>
            </w:r>
          </w:p>
        </w:tc>
        <w:tc>
          <w:tcPr>
            <w:tcW w:w="1623" w:type="dxa"/>
          </w:tcPr>
          <w:p w14:paraId="2942AB8E" w14:textId="297EE1DD" w:rsidR="007D4931" w:rsidRPr="001C5060" w:rsidRDefault="006B3DDF" w:rsidP="006B3DDF">
            <w:pPr>
              <w:pStyle w:val="Tabletext"/>
              <w:ind w:left="0"/>
            </w:pPr>
            <w:r>
              <w:t xml:space="preserve">  165</w:t>
            </w:r>
          </w:p>
        </w:tc>
        <w:tc>
          <w:tcPr>
            <w:tcW w:w="1713" w:type="dxa"/>
          </w:tcPr>
          <w:p w14:paraId="041A7F3E" w14:textId="18CD3672" w:rsidR="007D4931" w:rsidRPr="001C5060" w:rsidRDefault="006B3DDF" w:rsidP="007D4931">
            <w:pPr>
              <w:pStyle w:val="Tabletext"/>
            </w:pPr>
            <w:r>
              <w:t>192</w:t>
            </w:r>
          </w:p>
        </w:tc>
        <w:tc>
          <w:tcPr>
            <w:tcW w:w="3318" w:type="dxa"/>
          </w:tcPr>
          <w:p w14:paraId="7DBC24A0" w14:textId="3B11619F" w:rsidR="007D4931" w:rsidRPr="001C5060" w:rsidRDefault="006B3DDF" w:rsidP="007D4931">
            <w:pPr>
              <w:pStyle w:val="Tabletext"/>
              <w:ind w:left="0"/>
            </w:pPr>
            <w:r>
              <w:t xml:space="preserve">  </w:t>
            </w:r>
            <w:r w:rsidRPr="006B3DDF">
              <w:t>Guyed mast</w:t>
            </w:r>
          </w:p>
        </w:tc>
      </w:tr>
      <w:tr w:rsidR="006B3DDF" w:rsidRPr="001C5060" w14:paraId="7CB73C4E" w14:textId="77777777" w:rsidTr="006B3DDF">
        <w:trPr>
          <w:trHeight w:val="495"/>
          <w:jc w:val="center"/>
        </w:trPr>
        <w:tc>
          <w:tcPr>
            <w:tcW w:w="2383" w:type="dxa"/>
          </w:tcPr>
          <w:p w14:paraId="2F7178D2" w14:textId="67414B50" w:rsidR="007D4931" w:rsidRPr="001C5060" w:rsidRDefault="007D4931" w:rsidP="007D4931">
            <w:pPr>
              <w:pStyle w:val="Tabletext"/>
            </w:pPr>
            <w:r w:rsidRPr="007D4931">
              <w:t>Anthorn, UK</w:t>
            </w:r>
          </w:p>
        </w:tc>
        <w:tc>
          <w:tcPr>
            <w:tcW w:w="1623" w:type="dxa"/>
          </w:tcPr>
          <w:p w14:paraId="2F34E675" w14:textId="34250D85" w:rsidR="007D4931" w:rsidRPr="001C5060" w:rsidRDefault="006B3DDF" w:rsidP="007D4931">
            <w:pPr>
              <w:pStyle w:val="Tabletext"/>
            </w:pPr>
            <w:r>
              <w:t>220</w:t>
            </w:r>
          </w:p>
        </w:tc>
        <w:tc>
          <w:tcPr>
            <w:tcW w:w="1713" w:type="dxa"/>
          </w:tcPr>
          <w:p w14:paraId="1B79EC00" w14:textId="13AE7D39" w:rsidR="007D4931" w:rsidRPr="001C5060" w:rsidRDefault="006B3DDF" w:rsidP="007D4931">
            <w:pPr>
              <w:pStyle w:val="Tabletext"/>
            </w:pPr>
            <w:r>
              <w:t>150</w:t>
            </w:r>
          </w:p>
        </w:tc>
        <w:tc>
          <w:tcPr>
            <w:tcW w:w="3318" w:type="dxa"/>
          </w:tcPr>
          <w:p w14:paraId="2F5F7925" w14:textId="262ACCFD" w:rsidR="007D4931" w:rsidRPr="001C5060" w:rsidRDefault="006B3DDF" w:rsidP="007D4931">
            <w:pPr>
              <w:pStyle w:val="Tabletext"/>
            </w:pPr>
            <w:r w:rsidRPr="006B3DDF">
              <w:t>T-antenna</w:t>
            </w:r>
          </w:p>
        </w:tc>
      </w:tr>
      <w:tr w:rsidR="006B3DDF" w:rsidRPr="001C5060" w14:paraId="521E04E4" w14:textId="77777777" w:rsidTr="006B3DDF">
        <w:trPr>
          <w:trHeight w:val="495"/>
          <w:jc w:val="center"/>
        </w:trPr>
        <w:tc>
          <w:tcPr>
            <w:tcW w:w="2383" w:type="dxa"/>
          </w:tcPr>
          <w:p w14:paraId="6E882D0C" w14:textId="6CD842F2" w:rsidR="007D4931" w:rsidRPr="001C5060" w:rsidRDefault="007D4931" w:rsidP="007D4931">
            <w:pPr>
              <w:pStyle w:val="Tabletext"/>
            </w:pPr>
            <w:r w:rsidRPr="007D4931">
              <w:t>Williams Lake, Canada</w:t>
            </w:r>
          </w:p>
        </w:tc>
        <w:tc>
          <w:tcPr>
            <w:tcW w:w="1623" w:type="dxa"/>
          </w:tcPr>
          <w:p w14:paraId="793505B7" w14:textId="03ABAF95" w:rsidR="007D4931" w:rsidRPr="001C5060" w:rsidRDefault="006B3DDF" w:rsidP="007D4931">
            <w:pPr>
              <w:pStyle w:val="Tabletext"/>
            </w:pPr>
            <w:r>
              <w:t>400</w:t>
            </w:r>
          </w:p>
        </w:tc>
        <w:tc>
          <w:tcPr>
            <w:tcW w:w="1713" w:type="dxa"/>
          </w:tcPr>
          <w:p w14:paraId="02292E1A" w14:textId="2806A3F6" w:rsidR="007D4931" w:rsidRPr="001C5060" w:rsidRDefault="006B3DDF" w:rsidP="007D4931">
            <w:pPr>
              <w:pStyle w:val="Tabletext"/>
            </w:pPr>
            <w:r>
              <w:t>190</w:t>
            </w:r>
          </w:p>
        </w:tc>
        <w:tc>
          <w:tcPr>
            <w:tcW w:w="3318" w:type="dxa"/>
          </w:tcPr>
          <w:p w14:paraId="00DA4F3A" w14:textId="7760D9CE" w:rsidR="007D4931" w:rsidRPr="001C5060" w:rsidRDefault="006B3DDF" w:rsidP="007D4931">
            <w:pPr>
              <w:pStyle w:val="Tabletext"/>
            </w:pPr>
            <w:r w:rsidRPr="006B3DDF">
              <w:t>Guyed mast</w:t>
            </w:r>
          </w:p>
        </w:tc>
      </w:tr>
      <w:tr w:rsidR="006B3DDF" w:rsidRPr="001C5060" w14:paraId="286DF854" w14:textId="77777777" w:rsidTr="006B3DDF">
        <w:trPr>
          <w:trHeight w:val="495"/>
          <w:jc w:val="center"/>
        </w:trPr>
        <w:tc>
          <w:tcPr>
            <w:tcW w:w="2383" w:type="dxa"/>
          </w:tcPr>
          <w:p w14:paraId="40FBF46D" w14:textId="711CB5A6" w:rsidR="007D4931" w:rsidRPr="001C5060" w:rsidRDefault="007D4931" w:rsidP="007D4931">
            <w:pPr>
              <w:pStyle w:val="Tabletext"/>
            </w:pPr>
            <w:r w:rsidRPr="007D4931">
              <w:t>Grangeville, LA</w:t>
            </w:r>
            <w:r w:rsidR="006B3DDF">
              <w:t>, USA</w:t>
            </w:r>
          </w:p>
        </w:tc>
        <w:tc>
          <w:tcPr>
            <w:tcW w:w="1623" w:type="dxa"/>
          </w:tcPr>
          <w:p w14:paraId="1CDCD1CA" w14:textId="6C7BA7DD" w:rsidR="007D4931" w:rsidRPr="001C5060" w:rsidRDefault="006B3DDF" w:rsidP="007D4931">
            <w:pPr>
              <w:pStyle w:val="Tabletext"/>
            </w:pPr>
            <w:r>
              <w:t>800</w:t>
            </w:r>
          </w:p>
        </w:tc>
        <w:tc>
          <w:tcPr>
            <w:tcW w:w="1713" w:type="dxa"/>
          </w:tcPr>
          <w:p w14:paraId="5E690434" w14:textId="21CCED4F" w:rsidR="007D4931" w:rsidRPr="001C5060" w:rsidRDefault="006B3DDF" w:rsidP="007D4931">
            <w:pPr>
              <w:pStyle w:val="Tabletext"/>
            </w:pPr>
            <w:r>
              <w:t>213</w:t>
            </w:r>
          </w:p>
        </w:tc>
        <w:tc>
          <w:tcPr>
            <w:tcW w:w="3318" w:type="dxa"/>
          </w:tcPr>
          <w:p w14:paraId="7DD32637" w14:textId="14CB1B0D" w:rsidR="007D4931" w:rsidRPr="001C5060" w:rsidRDefault="006B3DDF" w:rsidP="007D4931">
            <w:pPr>
              <w:pStyle w:val="Tabletext"/>
            </w:pPr>
            <w:r w:rsidRPr="006B3DDF">
              <w:t>Guyed mast</w:t>
            </w:r>
          </w:p>
        </w:tc>
      </w:tr>
      <w:tr w:rsidR="006B3DDF" w:rsidRPr="001C5060" w14:paraId="562DC6DB" w14:textId="77777777" w:rsidTr="006B3DDF">
        <w:trPr>
          <w:trHeight w:val="495"/>
          <w:jc w:val="center"/>
        </w:trPr>
        <w:tc>
          <w:tcPr>
            <w:tcW w:w="2383" w:type="dxa"/>
          </w:tcPr>
          <w:p w14:paraId="13578BAC" w14:textId="298567D8" w:rsidR="007D4931" w:rsidRPr="007D4931" w:rsidRDefault="007D4931" w:rsidP="007D4931">
            <w:pPr>
              <w:pStyle w:val="Tabletext"/>
            </w:pPr>
            <w:r w:rsidRPr="007D4931">
              <w:t>Cape Race, Canada</w:t>
            </w:r>
          </w:p>
        </w:tc>
        <w:tc>
          <w:tcPr>
            <w:tcW w:w="1623" w:type="dxa"/>
          </w:tcPr>
          <w:p w14:paraId="2096100A" w14:textId="5EE3C717" w:rsidR="007D4931" w:rsidRPr="001C5060" w:rsidRDefault="006B3DDF" w:rsidP="007D4931">
            <w:pPr>
              <w:pStyle w:val="Tabletext"/>
            </w:pPr>
            <w:r>
              <w:t>1000</w:t>
            </w:r>
          </w:p>
        </w:tc>
        <w:tc>
          <w:tcPr>
            <w:tcW w:w="1713" w:type="dxa"/>
          </w:tcPr>
          <w:p w14:paraId="37F21F35" w14:textId="4DB8BA7A" w:rsidR="007D4931" w:rsidRPr="001C5060" w:rsidRDefault="006B3DDF" w:rsidP="007D4931">
            <w:pPr>
              <w:pStyle w:val="Tabletext"/>
            </w:pPr>
            <w:r>
              <w:t>260</w:t>
            </w:r>
          </w:p>
        </w:tc>
        <w:tc>
          <w:tcPr>
            <w:tcW w:w="3318" w:type="dxa"/>
          </w:tcPr>
          <w:p w14:paraId="5EA40A58" w14:textId="2B6E21BF" w:rsidR="007D4931" w:rsidRPr="001C5060" w:rsidRDefault="006B3DDF" w:rsidP="007D4931">
            <w:pPr>
              <w:pStyle w:val="Tabletext"/>
            </w:pPr>
            <w:r w:rsidRPr="006B3DDF">
              <w:t>Guyed mast</w:t>
            </w:r>
          </w:p>
        </w:tc>
      </w:tr>
      <w:tr w:rsidR="006B3DDF" w:rsidRPr="001C5060" w14:paraId="1228BF93" w14:textId="77777777" w:rsidTr="006B3DDF">
        <w:trPr>
          <w:trHeight w:val="495"/>
          <w:jc w:val="center"/>
        </w:trPr>
        <w:tc>
          <w:tcPr>
            <w:tcW w:w="2383" w:type="dxa"/>
          </w:tcPr>
          <w:p w14:paraId="6C7B2618" w14:textId="2A53EFA1" w:rsidR="007D4931" w:rsidRPr="001C5060" w:rsidRDefault="006B3DDF" w:rsidP="007D4931">
            <w:pPr>
              <w:pStyle w:val="Tabletext"/>
            </w:pPr>
            <w:r w:rsidRPr="006B3DDF">
              <w:t>George, WA</w:t>
            </w:r>
            <w:r>
              <w:t>, USA</w:t>
            </w:r>
          </w:p>
        </w:tc>
        <w:tc>
          <w:tcPr>
            <w:tcW w:w="1623" w:type="dxa"/>
          </w:tcPr>
          <w:p w14:paraId="4B714A5F" w14:textId="7EE7AC62" w:rsidR="007D4931" w:rsidRPr="001C5060" w:rsidRDefault="006B3DDF" w:rsidP="006B3DDF">
            <w:pPr>
              <w:pStyle w:val="Tabletext"/>
              <w:ind w:left="0"/>
            </w:pPr>
            <w:r>
              <w:t xml:space="preserve">  1400</w:t>
            </w:r>
          </w:p>
        </w:tc>
        <w:tc>
          <w:tcPr>
            <w:tcW w:w="1713" w:type="dxa"/>
          </w:tcPr>
          <w:p w14:paraId="3E603968" w14:textId="42D6BECD" w:rsidR="007D4931" w:rsidRPr="001C5060" w:rsidRDefault="006B3DDF" w:rsidP="007D4931">
            <w:pPr>
              <w:pStyle w:val="Tabletext"/>
            </w:pPr>
            <w:r>
              <w:t>211</w:t>
            </w:r>
          </w:p>
        </w:tc>
        <w:tc>
          <w:tcPr>
            <w:tcW w:w="3318" w:type="dxa"/>
          </w:tcPr>
          <w:p w14:paraId="543F0ED4" w14:textId="2A30C2D1" w:rsidR="007D4931" w:rsidRPr="001C5060" w:rsidRDefault="006B3DDF" w:rsidP="007D4931">
            <w:pPr>
              <w:pStyle w:val="Tabletext"/>
            </w:pPr>
            <w:r w:rsidRPr="006B3DDF">
              <w:t>Array of four T-antennas on for 211m masts, over a 442 m square area</w:t>
            </w:r>
          </w:p>
        </w:tc>
      </w:tr>
    </w:tbl>
    <w:p w14:paraId="404A14BD" w14:textId="77777777" w:rsidR="007D4931" w:rsidRDefault="007D4931" w:rsidP="007D4931">
      <w:pPr>
        <w:pStyle w:val="BodyText"/>
      </w:pPr>
    </w:p>
    <w:p w14:paraId="2B405277" w14:textId="77777777" w:rsidR="00565D6B" w:rsidRDefault="00565D6B">
      <w:pPr>
        <w:spacing w:after="200" w:line="276" w:lineRule="auto"/>
        <w:rPr>
          <w:rFonts w:asciiTheme="majorHAnsi" w:eastAsiaTheme="majorEastAsia" w:hAnsiTheme="majorHAnsi" w:cstheme="majorBidi"/>
          <w:b/>
          <w:bCs/>
          <w:caps/>
          <w:color w:val="407EC9"/>
          <w:sz w:val="24"/>
          <w:szCs w:val="24"/>
        </w:rPr>
      </w:pPr>
    </w:p>
    <w:p w14:paraId="2A6E3116" w14:textId="417E744C" w:rsidR="00AD067C" w:rsidRDefault="00AD067C" w:rsidP="00565D6B">
      <w:pPr>
        <w:pStyle w:val="Heading2"/>
      </w:pPr>
      <w:bookmarkStart w:id="51" w:name="_Toc336181792"/>
      <w:r>
        <w:t>Select Group Repetition Interval(s)</w:t>
      </w:r>
      <w:bookmarkEnd w:id="51"/>
    </w:p>
    <w:p w14:paraId="0CFC2E07" w14:textId="77777777" w:rsidR="00565D6B" w:rsidRPr="00565D6B" w:rsidRDefault="00565D6B" w:rsidP="00565D6B">
      <w:pPr>
        <w:pStyle w:val="Heading2separationline"/>
      </w:pPr>
    </w:p>
    <w:p w14:paraId="605DE03F" w14:textId="600AD255" w:rsidR="00AD067C" w:rsidRDefault="00AD067C" w:rsidP="00AD067C">
      <w:pPr>
        <w:pStyle w:val="BodyText"/>
      </w:pPr>
      <w:r>
        <w:t>One or more G</w:t>
      </w:r>
      <w:r w:rsidR="00D93B8E">
        <w:t>RI</w:t>
      </w:r>
      <w:r>
        <w:t xml:space="preserve"> will need to be assigned to the transmitters. </w:t>
      </w:r>
      <w:r w:rsidR="00565D6B">
        <w:t xml:space="preserve"> </w:t>
      </w:r>
      <w:r>
        <w:t xml:space="preserve">Techniques are available to achieve this, which may be computerised. </w:t>
      </w:r>
      <w:r w:rsidR="00D93B8E">
        <w:t xml:space="preserve"> </w:t>
      </w:r>
      <w:r>
        <w:t xml:space="preserve">Emission Delays should also be selected for each of the </w:t>
      </w:r>
      <w:r w:rsidR="00565D6B">
        <w:t>transmitters at this time.</w:t>
      </w:r>
    </w:p>
    <w:p w14:paraId="4A8F73F0" w14:textId="2791365A" w:rsidR="006B3DDF" w:rsidRPr="006B3DDF" w:rsidRDefault="006B3DDF" w:rsidP="006B3DDF">
      <w:pPr>
        <w:rPr>
          <w:sz w:val="22"/>
        </w:rPr>
      </w:pPr>
      <w:r>
        <w:rPr>
          <w:sz w:val="22"/>
        </w:rPr>
        <w:t>The E</w:t>
      </w:r>
      <w:r w:rsidRPr="006B3DDF">
        <w:rPr>
          <w:sz w:val="22"/>
        </w:rPr>
        <w:t xml:space="preserve">mission </w:t>
      </w:r>
      <w:r>
        <w:rPr>
          <w:sz w:val="22"/>
        </w:rPr>
        <w:t>D</w:t>
      </w:r>
      <w:r w:rsidRPr="006B3DDF">
        <w:rPr>
          <w:sz w:val="22"/>
        </w:rPr>
        <w:t>elay</w:t>
      </w:r>
      <w:r>
        <w:rPr>
          <w:sz w:val="22"/>
        </w:rPr>
        <w:t xml:space="preserve"> (ED)</w:t>
      </w:r>
      <w:r w:rsidRPr="006B3DDF">
        <w:rPr>
          <w:sz w:val="22"/>
        </w:rPr>
        <w:t xml:space="preserve"> is the time difference, in microseconds, between when a master eLoran station transmits and a given secondary station transmits. The ED is equal to the sum of the baseline travel time of the signal plus the secondary’s Coding Delay (CD). EDs are chosen so that there is no overlap in transmissions from the different transmitters covering the service area.</w:t>
      </w:r>
    </w:p>
    <w:p w14:paraId="694D007D" w14:textId="3349D10B" w:rsidR="006B3DDF" w:rsidRDefault="00AD067C" w:rsidP="00AD067C">
      <w:pPr>
        <w:pStyle w:val="BodyText"/>
      </w:pPr>
      <w:r>
        <w:t>Where the provider is adding one or more new transmitters to an existing set of transmitters it is appropriate to consider assigning the new transmitters to the already existing GRI(s) by an appropriate choice of E</w:t>
      </w:r>
      <w:r w:rsidR="006B3DDF">
        <w:t xml:space="preserve">D </w:t>
      </w:r>
      <w:r>
        <w:t>(s); this will avoid creating any addi</w:t>
      </w:r>
      <w:r w:rsidR="00565D6B">
        <w:t>tional C</w:t>
      </w:r>
      <w:r w:rsidR="00D93B8E">
        <w:t>RI</w:t>
      </w:r>
      <w:r w:rsidR="00565D6B">
        <w:t>.</w:t>
      </w:r>
    </w:p>
    <w:p w14:paraId="0D5AAF7A" w14:textId="1BDC0371" w:rsidR="00AD067C" w:rsidRDefault="00AD067C" w:rsidP="00565D6B">
      <w:pPr>
        <w:pStyle w:val="Heading2"/>
      </w:pPr>
      <w:bookmarkStart w:id="52" w:name="_Toc336181793"/>
      <w:r>
        <w:t>Install Transmitters</w:t>
      </w:r>
      <w:bookmarkEnd w:id="52"/>
    </w:p>
    <w:p w14:paraId="627CC2AB" w14:textId="77777777" w:rsidR="00565D6B" w:rsidRPr="00565D6B" w:rsidRDefault="00565D6B" w:rsidP="00565D6B">
      <w:pPr>
        <w:pStyle w:val="Heading2separationline"/>
      </w:pPr>
    </w:p>
    <w:p w14:paraId="266F1A65" w14:textId="687C27DD" w:rsidR="009F5501" w:rsidRDefault="00AD067C" w:rsidP="00AD067C">
      <w:pPr>
        <w:pStyle w:val="BodyText"/>
      </w:pPr>
      <w:r>
        <w:t>It is recommended that intended eLoran service providers liaise with their nation’s radio service providers who may have a capability to provide a location and assist in the installation of the eLoran transmitter. eLoran service provision typically involves international cooperation and coordination to run the system, for example as with NELS and FERNS.</w:t>
      </w:r>
      <w:r w:rsidR="00565D6B">
        <w:t xml:space="preserve"> </w:t>
      </w:r>
      <w:r>
        <w:t xml:space="preserve"> In these scenarios there will invariably be a requirement for a Control Centre, whose day to day duties include monitoring the eLoran signal and transmitter performance, coordinating maintenance activities and providing notices to users of authorised and unauthorised transmitter off-air events. </w:t>
      </w:r>
      <w:r w:rsidR="00565D6B">
        <w:t xml:space="preserve"> </w:t>
      </w:r>
      <w:r>
        <w:t xml:space="preserve">New eLoran transmitters that are to be integrated to an existing set will need to also be integrated into Control Centre operations. </w:t>
      </w:r>
      <w:r w:rsidR="00565D6B">
        <w:t xml:space="preserve"> </w:t>
      </w:r>
      <w:r>
        <w:t>The Control Centre should be tasked with maintaining synchronisation of the eLoran transmissions to UTC, and controlling the access to the LDC of customers requiring access to the data chann</w:t>
      </w:r>
      <w:r w:rsidR="00565D6B">
        <w:t>el without navigation services.</w:t>
      </w:r>
      <w:r w:rsidR="009F5501">
        <w:t xml:space="preserve"> </w:t>
      </w:r>
      <w:r w:rsidR="009F5501" w:rsidRPr="009F5501">
        <w:t>UTC synchronisation and LDC data tasks may, alternatively, be handled by organisations more suited to the work. For example national standards agencies (NPL in the UK; the USNO in the USA; KRISS in South Korea) may handle UTC synchronisation; national security agencies may handle the LDC client data.</w:t>
      </w:r>
    </w:p>
    <w:p w14:paraId="2C070C0A" w14:textId="052E64F3" w:rsidR="009F5501" w:rsidRDefault="00AD067C" w:rsidP="00AD067C">
      <w:pPr>
        <w:pStyle w:val="BodyText"/>
      </w:pPr>
      <w:r>
        <w:t>To transmit an eLoran signal, a mast of 200m is recommended, with</w:t>
      </w:r>
      <w:r w:rsidR="009F5501" w:rsidRPr="009F5501">
        <w:t xml:space="preserve"> a significant number of </w:t>
      </w:r>
      <w:r>
        <w:t>top loading elements and an appropriate earth mat that may extend up to a 300 m radius around the mast.  The transmitter output power shall be in the region of 200kW-1MW.  For the Loran Data Channel, and control and monitoring the local infrastructure must provide reliable power and broadband Internet connectivity with the appropriate security. It may be a requirement to provide separate Internet access for each of the LDC and monitoring and control. In either case redundant data communications systems should be provided, with spatial diversity of the redundant da</w:t>
      </w:r>
      <w:r w:rsidR="00565D6B">
        <w:t>ta links given a high priority.</w:t>
      </w:r>
    </w:p>
    <w:p w14:paraId="332B2F50" w14:textId="3A75BBE1" w:rsidR="009F5501" w:rsidRDefault="00AD067C" w:rsidP="00AD067C">
      <w:pPr>
        <w:pStyle w:val="BodyText"/>
      </w:pPr>
      <w:r>
        <w:t xml:space="preserve">For redundancy it is normal practice to duplicate the transmitter, timing and control units and power supply. </w:t>
      </w:r>
      <w:r w:rsidR="00565D6B">
        <w:t xml:space="preserve"> </w:t>
      </w:r>
      <w:r>
        <w:t>The use of Uninterrupted Power Supplies to prevent outages in the event of short term loss of power sup</w:t>
      </w:r>
      <w:r w:rsidR="00565D6B">
        <w:t>plies is strongly recommended.</w:t>
      </w:r>
    </w:p>
    <w:p w14:paraId="51B58346" w14:textId="0D38430D" w:rsidR="009F5501" w:rsidRDefault="00AD067C" w:rsidP="00AD067C">
      <w:pPr>
        <w:pStyle w:val="BodyText"/>
      </w:pPr>
      <w:r>
        <w:t xml:space="preserve">The performance of the LF transmitter and its antenna can be affected by weather conditions and an automatic Antenna Tuning Unit (ATU) should be used to minimise such effects. </w:t>
      </w:r>
      <w:r w:rsidR="00565D6B">
        <w:t xml:space="preserve"> </w:t>
      </w:r>
      <w:r>
        <w:t>Lightning protection techniques are highly recommended.</w:t>
      </w:r>
    </w:p>
    <w:p w14:paraId="479F6A4D" w14:textId="0C72F3E5" w:rsidR="00AD067C" w:rsidRDefault="00AD067C" w:rsidP="00AD067C">
      <w:pPr>
        <w:pStyle w:val="BodyText"/>
      </w:pPr>
      <w:r>
        <w:t>Service providers are recommended to contact eLoran transmitter vendors for more inform</w:t>
      </w:r>
      <w:r w:rsidR="00565D6B">
        <w:t>ation and installation options.</w:t>
      </w:r>
    </w:p>
    <w:p w14:paraId="49BDE92F" w14:textId="20CAB1B0" w:rsidR="00AD067C" w:rsidRDefault="00AD067C" w:rsidP="00AD067C">
      <w:pPr>
        <w:pStyle w:val="BodyText"/>
      </w:pPr>
      <w:r>
        <w:t>Information on the format of eLoran transmitter almanac data may be obtained from RTCM SC-127 [</w:t>
      </w:r>
      <w:r w:rsidR="00B27C78">
        <w:t>2</w:t>
      </w:r>
      <w:r>
        <w:t xml:space="preserve">]. Transmitter almanac information should be published in IHO S-200 </w:t>
      </w:r>
      <w:r w:rsidR="00565D6B">
        <w:t xml:space="preserve">series format; see section </w:t>
      </w:r>
      <w:r w:rsidR="00D93B8E">
        <w:rPr>
          <w:highlight w:val="yellow"/>
        </w:rPr>
        <w:fldChar w:fldCharType="begin"/>
      </w:r>
      <w:r w:rsidR="00D93B8E">
        <w:instrText xml:space="preserve"> REF _Ref453944968 \r \h </w:instrText>
      </w:r>
      <w:r w:rsidR="00D93B8E">
        <w:rPr>
          <w:highlight w:val="yellow"/>
        </w:rPr>
      </w:r>
      <w:r w:rsidR="00D93B8E">
        <w:rPr>
          <w:highlight w:val="yellow"/>
        </w:rPr>
        <w:fldChar w:fldCharType="separate"/>
      </w:r>
      <w:r w:rsidR="00D93B8E">
        <w:t>3.4</w:t>
      </w:r>
      <w:r w:rsidR="00D93B8E">
        <w:rPr>
          <w:highlight w:val="yellow"/>
        </w:rPr>
        <w:fldChar w:fldCharType="end"/>
      </w:r>
      <w:r w:rsidR="00565D6B">
        <w:t>.</w:t>
      </w:r>
    </w:p>
    <w:p w14:paraId="57292A44" w14:textId="66C15F11" w:rsidR="00AD067C" w:rsidRDefault="00AD067C" w:rsidP="00565D6B">
      <w:pPr>
        <w:pStyle w:val="Heading2"/>
      </w:pPr>
      <w:bookmarkStart w:id="53" w:name="_Toc336181794"/>
      <w:r>
        <w:t>Establish Applications - Voyage Phase Requirements</w:t>
      </w:r>
      <w:bookmarkEnd w:id="53"/>
    </w:p>
    <w:p w14:paraId="2368ECB0" w14:textId="77777777" w:rsidR="00565D6B" w:rsidRPr="00565D6B" w:rsidRDefault="00565D6B" w:rsidP="00565D6B">
      <w:pPr>
        <w:pStyle w:val="Heading2separationline"/>
      </w:pPr>
    </w:p>
    <w:p w14:paraId="2806C176" w14:textId="2008B666" w:rsidR="00E450EE" w:rsidRDefault="00AD067C" w:rsidP="00AD067C">
      <w:pPr>
        <w:pStyle w:val="BodyText"/>
      </w:pPr>
      <w:r>
        <w:t xml:space="preserve">The service provider should identify performance requirements around the provider’s coastal territory. </w:t>
      </w:r>
      <w:r w:rsidR="00565D6B">
        <w:t xml:space="preserve"> </w:t>
      </w:r>
      <w:r>
        <w:t xml:space="preserve">Providing ports and harbours with Port Approach Voyage phase capability will require the installation of one or more differential-Loran Reference Stations and ASF surveys. </w:t>
      </w:r>
      <w:r w:rsidR="00565D6B">
        <w:t xml:space="preserve"> </w:t>
      </w:r>
      <w:r>
        <w:t>Coastal Voyage phase will require the production of ASF data through modelling and cali</w:t>
      </w:r>
      <w:r w:rsidR="00565D6B">
        <w:t>bration with measured ASF data.</w:t>
      </w:r>
    </w:p>
    <w:p w14:paraId="5448395B" w14:textId="2C71D135" w:rsidR="00AD067C" w:rsidRDefault="00AD067C" w:rsidP="00565D6B">
      <w:pPr>
        <w:pStyle w:val="Heading3"/>
      </w:pPr>
      <w:bookmarkStart w:id="54" w:name="_Toc336181795"/>
      <w:r>
        <w:t>Port Approach Voyage Phase</w:t>
      </w:r>
      <w:bookmarkEnd w:id="54"/>
    </w:p>
    <w:p w14:paraId="11B9A901" w14:textId="0A526DC2" w:rsidR="0093752C" w:rsidRDefault="00AD067C" w:rsidP="0093752C">
      <w:pPr>
        <w:pStyle w:val="BodyText"/>
      </w:pPr>
      <w:r>
        <w:t xml:space="preserve">A </w:t>
      </w:r>
      <w:r w:rsidR="00CE42B8">
        <w:t>D</w:t>
      </w:r>
      <w:r>
        <w:t xml:space="preserve">Loran Reference Station will be required to be installed for each port or harbour to be provided with 10 m (95%) positioning accuracy capability. </w:t>
      </w:r>
      <w:r w:rsidR="00565D6B">
        <w:t xml:space="preserve"> </w:t>
      </w:r>
      <w:r>
        <w:t>The typical geographical range of validity of the differential-corrections computed b</w:t>
      </w:r>
      <w:r w:rsidR="00565D6B">
        <w:t>y a DLoran reference station is</w:t>
      </w:r>
      <w:r>
        <w:t xml:space="preserve"> limited by an effect called </w:t>
      </w:r>
      <w:r w:rsidR="00565D6B">
        <w:t>‘</w:t>
      </w:r>
      <w:r>
        <w:t>spatial decorrelation</w:t>
      </w:r>
      <w:r w:rsidR="00565D6B">
        <w:t>’</w:t>
      </w:r>
      <w:r>
        <w:t xml:space="preserve">, the effect of which is dependent on the difference in propagation paths between the eLoran transmitter and the user, and the eLoran transmitter and the reference station. </w:t>
      </w:r>
      <w:r w:rsidR="0093752C" w:rsidRPr="0093752C">
        <w:t>The usable range of a DLoran reference station may be limited by spatial de-correlation to less than 30km.</w:t>
      </w:r>
      <w:r w:rsidR="00565D6B">
        <w:t xml:space="preserve"> </w:t>
      </w:r>
      <w:r>
        <w:t>Numerous DLoran reference stations will be required in</w:t>
      </w:r>
      <w:r w:rsidR="00565D6B">
        <w:t xml:space="preserve"> order to cover a large region.</w:t>
      </w:r>
    </w:p>
    <w:p w14:paraId="66043136" w14:textId="399FAEB4" w:rsidR="00AD067C" w:rsidRDefault="00AD067C" w:rsidP="00565D6B">
      <w:pPr>
        <w:pStyle w:val="Heading4"/>
      </w:pPr>
      <w:r>
        <w:t>Reference Station Installation</w:t>
      </w:r>
    </w:p>
    <w:p w14:paraId="29459B3C" w14:textId="364415C4" w:rsidR="0093752C" w:rsidRDefault="00AD067C" w:rsidP="00AD067C">
      <w:pPr>
        <w:pStyle w:val="BodyText"/>
      </w:pPr>
      <w:r>
        <w:t>A suitable building will require to be found to house the reference station, with power, Internet connection, roof space for the eLoran antenna and access available for maintenance activities.</w:t>
      </w:r>
      <w:r w:rsidR="00565D6B">
        <w:t xml:space="preserve"> </w:t>
      </w:r>
      <w:r>
        <w:t xml:space="preserve"> Legal and financial compensation agreements will need to be made with port authorities and lice</w:t>
      </w:r>
      <w:r w:rsidR="00565D6B">
        <w:t>nces or leases may be required.</w:t>
      </w:r>
    </w:p>
    <w:p w14:paraId="52780C51" w14:textId="2939F1BC" w:rsidR="00AD067C" w:rsidRDefault="00AD067C" w:rsidP="00AD067C">
      <w:pPr>
        <w:pStyle w:val="BodyText"/>
      </w:pPr>
      <w:r>
        <w:t xml:space="preserve">When surveying the likely location of the reference station, it is recommended that the service provider perform a radio frequency </w:t>
      </w:r>
      <w:r w:rsidR="00565D6B">
        <w:t>‘</w:t>
      </w:r>
      <w:r>
        <w:t>noise survey</w:t>
      </w:r>
      <w:r w:rsidR="00565D6B">
        <w:t>’</w:t>
      </w:r>
      <w:r>
        <w:t xml:space="preserve"> of candidate buildings to ensure the quality of reception of the eLoran signals at the location. </w:t>
      </w:r>
      <w:r w:rsidR="00565D6B">
        <w:t xml:space="preserve"> </w:t>
      </w:r>
      <w:r>
        <w:t xml:space="preserve">Certain electrical equipment can affect the signal-to-noise ratio of the eLoran signals depending on proximity. For example, power supplies to </w:t>
      </w:r>
      <w:r w:rsidRPr="00FA478A">
        <w:t>LED</w:t>
      </w:r>
      <w:r>
        <w:t xml:space="preserve"> lighting, elevator motor equipment, air-conditioning plant, switch mode power supplies of radar, radio and satellite receiving equipment and computer monitor screens can all have a detrimental effect on eLoran signal quality if such equipment is too close (1 metre or so) to an eLoran receiver antenna. </w:t>
      </w:r>
      <w:r w:rsidR="00565D6B">
        <w:t xml:space="preserve"> </w:t>
      </w:r>
      <w:r>
        <w:t>For each port, the DLoran reference station should be installed and put into operation before the ASF measurement survey of the port is performed, as the reference station will need to be operating in order to take account of any signal propagation changes that mig</w:t>
      </w:r>
      <w:r w:rsidR="00CE42B8">
        <w:t>ht occur during the ASF survey.</w:t>
      </w:r>
    </w:p>
    <w:p w14:paraId="541EFC6E" w14:textId="214ECB27" w:rsidR="0093752C" w:rsidRDefault="0093752C" w:rsidP="00AD067C">
      <w:pPr>
        <w:pStyle w:val="BodyText"/>
      </w:pPr>
      <w:r w:rsidRPr="0093752C">
        <w:t>Excessive local noise at the reference-station will have a detrimental effect on the quality of the broadcast differential-corrections. Also, Integrity monitoring and post-broadcast validation of the corrections requires the reference-station to be able to perform accurate pseudo-range measurements and be able to de-modulate the LDC. As a guideline, all received eLoran signals should have a Signal-to-Noise ratio (SNR) greater than 0dB, and any stations implementing a data-channel will need an SNR greater than +7dB at all locations where the LDC is required to be received and reliably demodulated. Ideally all eLoran signals used in positioning should be received at the reference-station site at never less than +10dB SNR. Intermittent noise may be present for short time-intervals during a day – an example would be air-conditioning plant which operates intermittently as required by daytime temperatures. Once a site is selected for DLoran installation, a long-term noise survey should be conducted to ensure no such intermittent noise exists.</w:t>
      </w:r>
    </w:p>
    <w:p w14:paraId="79406D9C" w14:textId="12840F50" w:rsidR="0093752C" w:rsidRDefault="00AD067C" w:rsidP="00AD067C">
      <w:pPr>
        <w:pStyle w:val="BodyText"/>
      </w:pPr>
      <w:r>
        <w:t xml:space="preserve">The reference station should be provided with a unique identification number for automatic use by receivers. </w:t>
      </w:r>
      <w:r w:rsidR="00CE42B8">
        <w:t xml:space="preserve"> </w:t>
      </w:r>
      <w:r>
        <w:t xml:space="preserve">Information on the format of DLoran Reference Station almanac data may be obtained from RTCM SC-127 documentation. </w:t>
      </w:r>
      <w:r w:rsidR="00CE42B8">
        <w:t xml:space="preserve"> </w:t>
      </w:r>
      <w:r>
        <w:t xml:space="preserve">DLoran Reference Station almanac information should also be published in IHO S-200 </w:t>
      </w:r>
      <w:r w:rsidR="00CE42B8">
        <w:t xml:space="preserve">series format; see Section </w:t>
      </w:r>
      <w:r w:rsidR="00CE42B8">
        <w:rPr>
          <w:highlight w:val="yellow"/>
        </w:rPr>
        <w:fldChar w:fldCharType="begin"/>
      </w:r>
      <w:r w:rsidR="00CE42B8">
        <w:instrText xml:space="preserve"> REF _Ref453944968 \r \h </w:instrText>
      </w:r>
      <w:r w:rsidR="00CE42B8">
        <w:rPr>
          <w:highlight w:val="yellow"/>
        </w:rPr>
      </w:r>
      <w:r w:rsidR="00CE42B8">
        <w:rPr>
          <w:highlight w:val="yellow"/>
        </w:rPr>
        <w:fldChar w:fldCharType="separate"/>
      </w:r>
      <w:r w:rsidR="00CE42B8">
        <w:t>3.4</w:t>
      </w:r>
      <w:r w:rsidR="00CE42B8">
        <w:rPr>
          <w:highlight w:val="yellow"/>
        </w:rPr>
        <w:fldChar w:fldCharType="end"/>
      </w:r>
      <w:r w:rsidR="00565D6B">
        <w:t>.</w:t>
      </w:r>
    </w:p>
    <w:p w14:paraId="40823A2F" w14:textId="77D14D41" w:rsidR="00AD067C" w:rsidRDefault="00AD067C" w:rsidP="00565D6B">
      <w:pPr>
        <w:pStyle w:val="Heading4"/>
      </w:pPr>
      <w:r>
        <w:t>Planning ASF measurement Surveys</w:t>
      </w:r>
    </w:p>
    <w:p w14:paraId="5DC2CE3A" w14:textId="17775DC4" w:rsidR="00DE196C" w:rsidRDefault="00AD067C" w:rsidP="00AD067C">
      <w:pPr>
        <w:pStyle w:val="BodyText"/>
      </w:pPr>
      <w:r>
        <w:t xml:space="preserve">An ASF database will be required for each port or harbour approach. </w:t>
      </w:r>
      <w:r w:rsidR="00E91836">
        <w:t xml:space="preserve"> </w:t>
      </w:r>
      <w:r>
        <w:t xml:space="preserve">Since the area covered by a port approach is limited, it is appropriate to obtain the required data by measurement rather than modelling. </w:t>
      </w:r>
      <w:r w:rsidR="00E91836">
        <w:t xml:space="preserve"> </w:t>
      </w:r>
      <w:r>
        <w:t>The resulting data</w:t>
      </w:r>
      <w:r w:rsidR="00565D6B">
        <w:t xml:space="preserve"> will be the highest quality.</w:t>
      </w:r>
    </w:p>
    <w:p w14:paraId="5954EAE3" w14:textId="36630F29" w:rsidR="00DE196C" w:rsidRDefault="00DE196C" w:rsidP="00AD067C">
      <w:pPr>
        <w:pStyle w:val="BodyText"/>
      </w:pPr>
      <w:r w:rsidRPr="00DE196C">
        <w:t>Only the sea-areas accessible by shipping need to be surveyed. Analysis of historic AIS data showing vessel-traffic density, and published Nautical Charts of the area should be considered when planning a survey. Survey vessel tracks should be planned in advance and issued to the survey vessel operators.</w:t>
      </w:r>
    </w:p>
    <w:p w14:paraId="499A2B19" w14:textId="26070134" w:rsidR="00DE196C" w:rsidRDefault="00AD067C" w:rsidP="00AD067C">
      <w:pPr>
        <w:pStyle w:val="BodyText"/>
      </w:pPr>
      <w:r>
        <w:t xml:space="preserve">Using processing techniques and knowledge about the physics of eLoran signal propagation and ASF build-up over land it is not necessary to perform grid type surveying, as used to establish bathymetry. </w:t>
      </w:r>
      <w:r w:rsidR="00E91836">
        <w:t xml:space="preserve"> </w:t>
      </w:r>
      <w:r>
        <w:t>Rather ASF measurements are made around the edges of the area to be covered and the data is then post-processed using interpolation and extrapolation to cover tho</w:t>
      </w:r>
      <w:r w:rsidR="00E91836">
        <w:t>se areas not directly measured.</w:t>
      </w:r>
      <w:r w:rsidR="00DE196C">
        <w:t xml:space="preserve"> </w:t>
      </w:r>
      <w:r w:rsidR="00DE196C" w:rsidRPr="00DE196C">
        <w:t>ASF build-up over land depends on the terrain conductivity and is often unknown, but once the signal propagates out over sea-water the behaviour of ASF delay over distance is much more predictable. Expending surveying effort near to coastlines and between islands and archipelagos is more important than measuring ASF far out to sea, where its behaviour can be predicted with much more accuracy.</w:t>
      </w:r>
    </w:p>
    <w:p w14:paraId="7105F650" w14:textId="5BB8C521" w:rsidR="00AD067C" w:rsidRDefault="00AD067C" w:rsidP="00565D6B">
      <w:pPr>
        <w:pStyle w:val="Heading4"/>
      </w:pPr>
      <w:r>
        <w:t>Perform the ASF Survey</w:t>
      </w:r>
    </w:p>
    <w:p w14:paraId="6486EBF7" w14:textId="50CDE229" w:rsidR="00DE196C" w:rsidRDefault="00AD067C" w:rsidP="00AD067C">
      <w:pPr>
        <w:pStyle w:val="BodyText"/>
      </w:pPr>
      <w:r>
        <w:t>The service provider should ensure that the local DLoran Reference Station is operating correctly before and during the survey.</w:t>
      </w:r>
      <w:r w:rsidR="00E91836">
        <w:t xml:space="preserve"> </w:t>
      </w:r>
      <w:r>
        <w:t xml:space="preserve"> In addition</w:t>
      </w:r>
      <w:r w:rsidR="00CE42B8">
        <w:t>,</w:t>
      </w:r>
      <w:r>
        <w:t xml:space="preserve"> the provider should ensure that all eLoran transmitters intended to be used for position fixing in the area by users, are operating correctly and that there is no transmitter maintenance planned during the survey that will either take the transmitter off-air, or affect the perform</w:t>
      </w:r>
      <w:r w:rsidR="00E91836">
        <w:t>ance of the transmitted signal.</w:t>
      </w:r>
    </w:p>
    <w:p w14:paraId="54771C9F" w14:textId="6194E905" w:rsidR="00DE196C" w:rsidRDefault="00AD067C" w:rsidP="00AD067C">
      <w:pPr>
        <w:pStyle w:val="BodyText"/>
      </w:pPr>
      <w:r>
        <w:t>Vessels should traverse around the edges of the VTS service area and along heavily-trafficked approach channels.</w:t>
      </w:r>
      <w:r w:rsidR="00E91836">
        <w:t xml:space="preserve"> </w:t>
      </w:r>
      <w:r>
        <w:t xml:space="preserve"> Depending on the extent of the VTS area, it may be appropriate to traverse other lines within the area. </w:t>
      </w:r>
      <w:r w:rsidR="00E91836">
        <w:t xml:space="preserve"> </w:t>
      </w:r>
      <w:r>
        <w:t>The aim is to gather as much high quality data in the most efficient manner possible in order to save ship time, personnel time and fuel. It is recommen</w:t>
      </w:r>
      <w:r w:rsidR="00CE42B8">
        <w:t>ded that, for Port Approach ASF</w:t>
      </w:r>
      <w:r>
        <w:t xml:space="preserve">, data is gathered and monitored in real-time with an operator sat at the measurement equipment. </w:t>
      </w:r>
      <w:r w:rsidR="00E91836">
        <w:t xml:space="preserve"> </w:t>
      </w:r>
      <w:r>
        <w:t xml:space="preserve">The software should be able to provide information on the quality and amount of data gathered, and decision can then be made whether to re-survey areas that are of poorer quality than others. </w:t>
      </w:r>
      <w:r w:rsidR="00E91836">
        <w:t xml:space="preserve"> </w:t>
      </w:r>
      <w:r>
        <w:t>ASF measurement equipment may be purcha</w:t>
      </w:r>
      <w:r w:rsidR="00CE42B8">
        <w:t>sed from an appropriate vendor.</w:t>
      </w:r>
    </w:p>
    <w:p w14:paraId="40A6A7B3" w14:textId="356C2ADC" w:rsidR="00AD067C" w:rsidRDefault="00AD067C" w:rsidP="00E91836">
      <w:pPr>
        <w:pStyle w:val="Heading4"/>
      </w:pPr>
      <w:r>
        <w:t>ASF Data Processing</w:t>
      </w:r>
    </w:p>
    <w:p w14:paraId="411F6083" w14:textId="24DC3FD9" w:rsidR="00DE196C" w:rsidRDefault="00DE196C" w:rsidP="00AD067C">
      <w:pPr>
        <w:pStyle w:val="BodyText"/>
      </w:pPr>
      <w:r w:rsidRPr="00DE196C">
        <w:t>Once the survey has been completed the data will need to be processed to interpolate and extrapolate data to those regions where data was not measured. The data should be output in a grid format, most conveniently a rectangular grid of individual ASF cells for each transmitter intended to be used for position fixing in the area. The ASF data cells should be spaced no more than 500 m apart. Interpolation and filtering techniques are available that take into account the physics of ASF to optimise the accuracy of the generated ASF grid.</w:t>
      </w:r>
    </w:p>
    <w:p w14:paraId="308A25F3" w14:textId="659A4CD3" w:rsidR="00DE196C" w:rsidRDefault="00DE196C" w:rsidP="00AD067C">
      <w:pPr>
        <w:pStyle w:val="BodyText"/>
      </w:pPr>
      <w:r w:rsidRPr="00DE196C">
        <w:t>At the same time as producing the ASF data grids an equivalently sized grid of ASF measurement errors, one error value per ASF grid cell, should be produced. This should be published alongside the ASF data for use within a user’s receiver. The ASF error data will be used in RAIM type integrity equations as one component of a Horizontal Protection Level (HPL) computation. Depending on the amount of Interpolation, or Extrapolation required to produce the ASF Map (and the distances over which the extrapolation is performed) certain areas of the Map will contain high-accuracy ASF values, and certain areas will contain low-accuracy ASF.</w:t>
      </w:r>
    </w:p>
    <w:p w14:paraId="26E796DE" w14:textId="0330D25C" w:rsidR="00DE196C" w:rsidRDefault="00DE196C" w:rsidP="00DE196C">
      <w:pPr>
        <w:pStyle w:val="BodyText"/>
      </w:pPr>
      <w:r>
        <w:t>It is important to define a Service Area for Port Approach voyage phase of eLoran. This is the region of the map for which ASF data has been surveyed to high accuracy, and can be used for precise eLoran positioning. Typically the Service Area will be the region contained within the interpolation (i.e. bounded on all sides by the ‘tracks’ run by the survey vessel) and extrapolated a distance no more than about 500m outside the survey ‘tracks’.</w:t>
      </w:r>
    </w:p>
    <w:p w14:paraId="5335C1A5" w14:textId="1AEBCA5F" w:rsidR="00AD067C" w:rsidRDefault="00DE196C" w:rsidP="00AD067C">
      <w:pPr>
        <w:pStyle w:val="BodyText"/>
      </w:pPr>
      <w:r>
        <w:t>The quality of the ASF Map outside this Service Area cannot be guaranteed, as this data is based on extrapolation techniques which are known to be inaccurate. High-accuracy eLoran positioning cannot be guaranteed in regions outside the Service Area, so it is important to plan survey tracks well in advance of the measurement campaign.</w:t>
      </w:r>
    </w:p>
    <w:p w14:paraId="5052B8CC" w14:textId="0556EF24" w:rsidR="00AD067C" w:rsidRDefault="00AD067C" w:rsidP="00E91836">
      <w:pPr>
        <w:pStyle w:val="Heading4"/>
      </w:pPr>
      <w:r>
        <w:t>ASF Data Validation</w:t>
      </w:r>
    </w:p>
    <w:p w14:paraId="380C27B5" w14:textId="4AE368C8" w:rsidR="00DE196C" w:rsidRDefault="00AD067C" w:rsidP="00DE196C">
      <w:pPr>
        <w:pStyle w:val="BodyText"/>
      </w:pPr>
      <w:r>
        <w:t xml:space="preserve">Once the final output ASF data has been produced it is recommended that the service provider validate eLoran positioning in the area of interest. </w:t>
      </w:r>
      <w:r w:rsidR="00CE42B8">
        <w:t xml:space="preserve"> </w:t>
      </w:r>
      <w:r>
        <w:t xml:space="preserve">This validation should employ the ASF map and the local </w:t>
      </w:r>
      <w:r w:rsidR="00CE42B8">
        <w:t>DLoran Reference Station.</w:t>
      </w:r>
      <w:r w:rsidR="00DE196C" w:rsidRPr="00DE196C">
        <w:t xml:space="preserve"> ASF Data Validation should be carried out only in areas where high-accuracy ASF data is provided, i.e. strictly within the ASF Map Service Area as defined above.</w:t>
      </w:r>
    </w:p>
    <w:p w14:paraId="77A47533" w14:textId="7320E568" w:rsidR="00AD067C" w:rsidRDefault="00AD067C" w:rsidP="00E91836">
      <w:pPr>
        <w:pStyle w:val="Heading4"/>
      </w:pPr>
      <w:r>
        <w:t>ASF Data Publication</w:t>
      </w:r>
    </w:p>
    <w:p w14:paraId="4D4A33B6" w14:textId="1F857470" w:rsidR="00DE196C" w:rsidRDefault="00AD067C" w:rsidP="00AD067C">
      <w:pPr>
        <w:pStyle w:val="BodyText"/>
      </w:pPr>
      <w:r>
        <w:t xml:space="preserve">The ASF (and ASF error) data grids should be converted into RTCM SC-127 format ready for use by receiver manufacturers. </w:t>
      </w:r>
      <w:r w:rsidR="00E91836">
        <w:t xml:space="preserve"> </w:t>
      </w:r>
      <w:r>
        <w:t>It should also be handed to IALA for conversion to IHO</w:t>
      </w:r>
      <w:r w:rsidR="00E91836">
        <w:t xml:space="preserve"> S-245 format; see section </w:t>
      </w:r>
      <w:r w:rsidR="00CE42B8">
        <w:rPr>
          <w:highlight w:val="yellow"/>
        </w:rPr>
        <w:fldChar w:fldCharType="begin"/>
      </w:r>
      <w:r w:rsidR="00CE42B8">
        <w:instrText xml:space="preserve"> REF _Ref453944968 \r \h </w:instrText>
      </w:r>
      <w:r w:rsidR="00CE42B8">
        <w:rPr>
          <w:highlight w:val="yellow"/>
        </w:rPr>
      </w:r>
      <w:r w:rsidR="00CE42B8">
        <w:rPr>
          <w:highlight w:val="yellow"/>
        </w:rPr>
        <w:fldChar w:fldCharType="separate"/>
      </w:r>
      <w:r w:rsidR="00CE42B8">
        <w:t>3.4</w:t>
      </w:r>
      <w:r w:rsidR="00CE42B8">
        <w:rPr>
          <w:highlight w:val="yellow"/>
        </w:rPr>
        <w:fldChar w:fldCharType="end"/>
      </w:r>
      <w:r w:rsidR="00E91836">
        <w:t>.</w:t>
      </w:r>
    </w:p>
    <w:p w14:paraId="5D22DC1E" w14:textId="0D7114C0" w:rsidR="00AD067C" w:rsidRDefault="00E91836" w:rsidP="00E91836">
      <w:pPr>
        <w:pStyle w:val="Heading3"/>
      </w:pPr>
      <w:bookmarkStart w:id="55" w:name="_Toc336181796"/>
      <w:r>
        <w:t>Coastal Voyage Phase</w:t>
      </w:r>
      <w:bookmarkEnd w:id="55"/>
    </w:p>
    <w:p w14:paraId="1D63603D" w14:textId="56E4C7D0" w:rsidR="00AD067C" w:rsidRDefault="00DE196C" w:rsidP="00590E04">
      <w:r w:rsidRPr="00DE196C">
        <w:rPr>
          <w:sz w:val="22"/>
        </w:rPr>
        <w:t xml:space="preserve">This phase of navigation is assumed to take place outside of harbour approach areas at greater distance from a DLoran reference station where the differential-corrections are not valid. The Coastal Voyage phase does not require as high accuracy positioning as the Port Approach Phase </w:t>
      </w:r>
      <w:r w:rsidR="00590E04" w:rsidRPr="00590E04">
        <w:rPr>
          <w:sz w:val="22"/>
        </w:rPr>
        <w:t xml:space="preserve">(see </w:t>
      </w:r>
      <w:r w:rsidR="00590E04" w:rsidRPr="00590E04">
        <w:rPr>
          <w:sz w:val="22"/>
        </w:rPr>
        <w:fldChar w:fldCharType="begin"/>
      </w:r>
      <w:r w:rsidR="00590E04" w:rsidRPr="00590E04">
        <w:rPr>
          <w:sz w:val="22"/>
        </w:rPr>
        <w:instrText xml:space="preserve"> REF _Ref453865325 \r \h </w:instrText>
      </w:r>
      <w:r w:rsidR="00590E04" w:rsidRPr="00590E04">
        <w:rPr>
          <w:sz w:val="22"/>
        </w:rPr>
      </w:r>
      <w:r w:rsidR="00590E04" w:rsidRPr="00590E04">
        <w:rPr>
          <w:sz w:val="22"/>
        </w:rPr>
        <w:fldChar w:fldCharType="separate"/>
      </w:r>
      <w:r w:rsidR="00590E04">
        <w:rPr>
          <w:sz w:val="22"/>
        </w:rPr>
        <w:t>Table 2</w:t>
      </w:r>
      <w:r w:rsidR="00590E04" w:rsidRPr="00590E04">
        <w:rPr>
          <w:sz w:val="22"/>
        </w:rPr>
        <w:fldChar w:fldCharType="end"/>
      </w:r>
      <w:r w:rsidR="00590E04" w:rsidRPr="00590E04">
        <w:rPr>
          <w:sz w:val="22"/>
        </w:rPr>
        <w:t>)</w:t>
      </w:r>
      <w:r w:rsidRPr="00DE196C">
        <w:rPr>
          <w:sz w:val="22"/>
        </w:rPr>
        <w:t>. eLoran using ASFs alone has been demonstrated to be capable of providing 30 m to 50 m positioning accuracy at the 95% probability level.</w:t>
      </w:r>
    </w:p>
    <w:p w14:paraId="4379DC24" w14:textId="74C6EF83" w:rsidR="00AD067C" w:rsidRDefault="00AD067C" w:rsidP="00E91836">
      <w:pPr>
        <w:pStyle w:val="Heading4"/>
      </w:pPr>
      <w:r>
        <w:t>Identify the Coverage Region</w:t>
      </w:r>
    </w:p>
    <w:p w14:paraId="1C61A7DC" w14:textId="094BCE5B" w:rsidR="00590E04" w:rsidRDefault="00AD067C" w:rsidP="00AD067C">
      <w:pPr>
        <w:pStyle w:val="BodyText"/>
      </w:pPr>
      <w:r>
        <w:t xml:space="preserve">The service provider should identify the coverage region within which Coastal Voyage Phase performance from eLoran is required. </w:t>
      </w:r>
      <w:r w:rsidR="00E91836">
        <w:t xml:space="preserve"> </w:t>
      </w:r>
      <w:r>
        <w:t>The service provider may need to consult coverage maps in order to verify that coverage wit</w:t>
      </w:r>
      <w:r w:rsidR="00E91836">
        <w:t>hin this region is feasible.</w:t>
      </w:r>
    </w:p>
    <w:p w14:paraId="78CD4EA3" w14:textId="5A61CB73" w:rsidR="00AD067C" w:rsidRDefault="00AD067C" w:rsidP="00E91836">
      <w:pPr>
        <w:pStyle w:val="Heading4"/>
      </w:pPr>
      <w:r>
        <w:t>Produce ASF Data Using Modelling Software</w:t>
      </w:r>
    </w:p>
    <w:p w14:paraId="5BB31482" w14:textId="41FEF205" w:rsidR="00590E04" w:rsidRDefault="00590E04" w:rsidP="00AD067C">
      <w:pPr>
        <w:pStyle w:val="BodyText"/>
      </w:pPr>
      <w:r w:rsidRPr="00590E04">
        <w:t>The coastal voyage phase by definition covers a much greater geographical area than the harbour approach. ASF data is most efficiently produced through software modelling and subsequent calibration using a much smaller set of measured data. Sophisticated ASF modelling software is available, which accounts for the electrical conductivity of the earth’s surface, coastline data and terrain elevation data.</w:t>
      </w:r>
    </w:p>
    <w:p w14:paraId="615AE72A" w14:textId="0EDF74A5" w:rsidR="00AD067C" w:rsidRDefault="00AD067C" w:rsidP="00E91836">
      <w:pPr>
        <w:pStyle w:val="Heading4"/>
      </w:pPr>
      <w:r>
        <w:t>eLoran Shipboard Monitoring</w:t>
      </w:r>
    </w:p>
    <w:p w14:paraId="3EB481AC" w14:textId="2DDF77DB" w:rsidR="00590E04" w:rsidRDefault="00AD067C" w:rsidP="00AD067C">
      <w:pPr>
        <w:pStyle w:val="BodyText"/>
      </w:pPr>
      <w:r>
        <w:t xml:space="preserve">Measured ASF data may be gathered by </w:t>
      </w:r>
      <w:r w:rsidR="00E91836">
        <w:t>‘</w:t>
      </w:r>
      <w:r>
        <w:t>vessels of convenience</w:t>
      </w:r>
      <w:r w:rsidR="00E91836">
        <w:t>’</w:t>
      </w:r>
      <w:r>
        <w:t xml:space="preserve">, or crowd sourcing. </w:t>
      </w:r>
      <w:r w:rsidR="00E91836">
        <w:t xml:space="preserve"> </w:t>
      </w:r>
      <w:r>
        <w:t xml:space="preserve">Once vessels have been fitted with multi-source receivers containing one or more GNSS and an eLoran receiver then this can be a source of ongoing measurements against which to calibrate and monitor the performance of the service provider’s ASF data. </w:t>
      </w:r>
      <w:r w:rsidR="00E91836">
        <w:t xml:space="preserve"> </w:t>
      </w:r>
      <w:r>
        <w:t>The shipboard monitoring equipment may also serve to provide the service provider with validation data on the per</w:t>
      </w:r>
      <w:r w:rsidR="00CE42B8">
        <w:t>formance of its eLoran service.</w:t>
      </w:r>
    </w:p>
    <w:p w14:paraId="26FB9D62" w14:textId="2D8AA1C1" w:rsidR="00AD067C" w:rsidRDefault="00AD067C" w:rsidP="00E91836">
      <w:pPr>
        <w:pStyle w:val="Heading4"/>
      </w:pPr>
      <w:r>
        <w:t>ASF Data Processing and Calibration</w:t>
      </w:r>
    </w:p>
    <w:p w14:paraId="7105D443" w14:textId="30E3F1B9" w:rsidR="00590E04" w:rsidRDefault="00AD067C" w:rsidP="00AD067C">
      <w:pPr>
        <w:pStyle w:val="BodyText"/>
      </w:pPr>
      <w:r>
        <w:t>Measured ASF data, or the data that can be used to derive measured ASF, should be collected from the service provider’s shipboard eLoran monitoring vessels regularly, and the modelled data re-calibrated with it and republished.</w:t>
      </w:r>
      <w:r w:rsidR="00E91836">
        <w:t xml:space="preserve"> </w:t>
      </w:r>
      <w:r>
        <w:t xml:space="preserve"> In this way the service provider ensures that the mariner is provided with the latest data. </w:t>
      </w:r>
      <w:r w:rsidR="00E91836">
        <w:t xml:space="preserve"> </w:t>
      </w:r>
      <w:r>
        <w:t xml:space="preserve">The re-publication of data may be achieved using an e-Navigation service providing data through the </w:t>
      </w:r>
      <w:r w:rsidR="00590E04">
        <w:t xml:space="preserve">IHO </w:t>
      </w:r>
      <w:r>
        <w:t xml:space="preserve">S-245 format. </w:t>
      </w:r>
      <w:r w:rsidR="00E91836">
        <w:t xml:space="preserve"> </w:t>
      </w:r>
      <w:r>
        <w:t>This could be an automated process in order t</w:t>
      </w:r>
      <w:r w:rsidR="00E91836">
        <w:t>o ensure timeliness of updates.</w:t>
      </w:r>
    </w:p>
    <w:p w14:paraId="3AA62169" w14:textId="3A6C2B5A" w:rsidR="00AD067C" w:rsidRDefault="00AD067C" w:rsidP="00E91836">
      <w:pPr>
        <w:pStyle w:val="Heading4"/>
      </w:pPr>
      <w:r>
        <w:t>ASF Data Validation</w:t>
      </w:r>
    </w:p>
    <w:p w14:paraId="156C3590" w14:textId="0B9E9DB2" w:rsidR="00590E04" w:rsidRDefault="00AD067C" w:rsidP="00AD067C">
      <w:pPr>
        <w:pStyle w:val="BodyText"/>
      </w:pPr>
      <w:r>
        <w:t xml:space="preserve">Once the final output ASF data has been produced it is recommended that the service provider validate eLoran positioning in the area of interest. </w:t>
      </w:r>
      <w:r w:rsidR="00E91836">
        <w:t xml:space="preserve"> </w:t>
      </w:r>
      <w:r>
        <w:t xml:space="preserve">This validation should employ the calibrated ASF map and </w:t>
      </w:r>
      <w:r w:rsidR="00E91836">
        <w:t>‘</w:t>
      </w:r>
      <w:r>
        <w:t>vessels of convenience</w:t>
      </w:r>
      <w:r w:rsidR="00E91836">
        <w:t>’</w:t>
      </w:r>
      <w:r>
        <w:t>, or crowd sourcing of an ag</w:t>
      </w:r>
      <w:r w:rsidR="00E91836">
        <w:t>reed set of validating users.</w:t>
      </w:r>
    </w:p>
    <w:p w14:paraId="5A39DA50" w14:textId="62C7E50C" w:rsidR="00AD067C" w:rsidRDefault="00AD067C" w:rsidP="00E91836">
      <w:pPr>
        <w:pStyle w:val="Heading4"/>
      </w:pPr>
      <w:r>
        <w:t>ASF Data Publication</w:t>
      </w:r>
    </w:p>
    <w:p w14:paraId="1CD08949" w14:textId="0F865E7F" w:rsidR="00590E04" w:rsidRDefault="00AD067C" w:rsidP="00AD067C">
      <w:pPr>
        <w:pStyle w:val="BodyText"/>
      </w:pPr>
      <w:r>
        <w:t xml:space="preserve">The ASF (and ASF error) data grids should be converted into RTCM SC-127 format ready for use by receiver manufacturers. It should also be handed to IALA for conversion to IHO S-245 format; see </w:t>
      </w:r>
      <w:r w:rsidR="00E91836">
        <w:t>s</w:t>
      </w:r>
      <w:r>
        <w:t xml:space="preserve">ection </w:t>
      </w:r>
      <w:r w:rsidR="009C7943">
        <w:rPr>
          <w:highlight w:val="yellow"/>
        </w:rPr>
        <w:fldChar w:fldCharType="begin"/>
      </w:r>
      <w:r w:rsidR="009C7943">
        <w:instrText xml:space="preserve"> REF _Ref453936780 \r \h </w:instrText>
      </w:r>
      <w:r w:rsidR="009C7943">
        <w:rPr>
          <w:highlight w:val="yellow"/>
        </w:rPr>
      </w:r>
      <w:r w:rsidR="009C7943">
        <w:rPr>
          <w:highlight w:val="yellow"/>
        </w:rPr>
        <w:fldChar w:fldCharType="separate"/>
      </w:r>
      <w:r w:rsidR="009C7943">
        <w:t>3.4</w:t>
      </w:r>
      <w:r w:rsidR="009C7943">
        <w:rPr>
          <w:highlight w:val="yellow"/>
        </w:rPr>
        <w:fldChar w:fldCharType="end"/>
      </w:r>
      <w:r>
        <w:t>.</w:t>
      </w:r>
    </w:p>
    <w:p w14:paraId="579C4D6D" w14:textId="59F18609" w:rsidR="00FF4C48" w:rsidRDefault="00E91836" w:rsidP="00E91836">
      <w:pPr>
        <w:pStyle w:val="Heading1"/>
      </w:pPr>
      <w:bookmarkStart w:id="56" w:name="_Toc336181797"/>
      <w:r>
        <w:t>OPERATIONAL ASPECTS</w:t>
      </w:r>
      <w:bookmarkEnd w:id="56"/>
    </w:p>
    <w:p w14:paraId="586FF407" w14:textId="77777777" w:rsidR="00E91836" w:rsidRPr="00E91836" w:rsidRDefault="00E91836" w:rsidP="00E91836">
      <w:pPr>
        <w:pStyle w:val="Heading1separatationline"/>
      </w:pPr>
    </w:p>
    <w:p w14:paraId="28B4703F" w14:textId="796504CC" w:rsidR="00E91836" w:rsidRDefault="00E91836" w:rsidP="00E91836">
      <w:pPr>
        <w:pStyle w:val="BodyText"/>
      </w:pPr>
      <w:r>
        <w:t xml:space="preserve">Aspects of service providers’ operations are presented here, with some detail found in </w:t>
      </w:r>
      <w:r w:rsidR="009C7943">
        <w:fldChar w:fldCharType="begin"/>
      </w:r>
      <w:r w:rsidR="009C7943">
        <w:instrText xml:space="preserve"> REF _Ref453936835 \r \h </w:instrText>
      </w:r>
      <w:r w:rsidR="009C7943">
        <w:fldChar w:fldCharType="separate"/>
      </w:r>
      <w:r w:rsidR="00B27C78">
        <w:t>[12]</w:t>
      </w:r>
      <w:r w:rsidR="009C7943">
        <w:fldChar w:fldCharType="end"/>
      </w:r>
      <w:r>
        <w:t>.</w:t>
      </w:r>
    </w:p>
    <w:p w14:paraId="2D42E0A7" w14:textId="7D41DD43" w:rsidR="00E91836" w:rsidRDefault="00E91836" w:rsidP="00E91836">
      <w:pPr>
        <w:pStyle w:val="Heading2"/>
      </w:pPr>
      <w:bookmarkStart w:id="57" w:name="_Toc336181798"/>
      <w:r>
        <w:t>Concept of Operations</w:t>
      </w:r>
      <w:bookmarkEnd w:id="57"/>
    </w:p>
    <w:p w14:paraId="62D24275" w14:textId="77777777" w:rsidR="00E91836" w:rsidRPr="00E91836" w:rsidRDefault="00E91836" w:rsidP="00E91836">
      <w:pPr>
        <w:pStyle w:val="Heading2separationline"/>
      </w:pPr>
    </w:p>
    <w:p w14:paraId="5048BECE" w14:textId="4D182B9E" w:rsidR="00590E04" w:rsidRDefault="00590E04" w:rsidP="00590E04">
      <w:pPr>
        <w:pStyle w:val="BodyText"/>
      </w:pPr>
      <w:r>
        <w:t>Taking into account that:</w:t>
      </w:r>
    </w:p>
    <w:p w14:paraId="79B1303F" w14:textId="0697AAA6" w:rsidR="00E91836" w:rsidRDefault="00E91836" w:rsidP="00E91836">
      <w:pPr>
        <w:pStyle w:val="Bullet1"/>
      </w:pPr>
      <w:r>
        <w:t>eLoran stations are unmanned and fully automated;</w:t>
      </w:r>
    </w:p>
    <w:p w14:paraId="6FEE6ABE" w14:textId="037A599B" w:rsidR="00E91836" w:rsidRDefault="00E91836" w:rsidP="00E91836">
      <w:pPr>
        <w:pStyle w:val="Bullet1"/>
      </w:pPr>
      <w:r>
        <w:t>each station contains an Uninterruptible Power Supply (UPS) to minimise outages due to power failure.</w:t>
      </w:r>
    </w:p>
    <w:p w14:paraId="2881F203" w14:textId="77777777" w:rsidR="00E91836" w:rsidRDefault="00E91836" w:rsidP="00E91836">
      <w:pPr>
        <w:pStyle w:val="BodyText"/>
      </w:pPr>
      <w:r>
        <w:t>An eLoran service provider should:</w:t>
      </w:r>
    </w:p>
    <w:p w14:paraId="1C2E21A7" w14:textId="445E8470" w:rsidR="00E91836" w:rsidRDefault="00E91836" w:rsidP="00E91836">
      <w:pPr>
        <w:pStyle w:val="Bullet1"/>
      </w:pPr>
      <w:r>
        <w:t>continuously monitor the service and manage any disruptions;</w:t>
      </w:r>
    </w:p>
    <w:p w14:paraId="30CDBEDD" w14:textId="790B97A6" w:rsidR="00E91836" w:rsidRDefault="00E91836" w:rsidP="00E91836">
      <w:pPr>
        <w:pStyle w:val="Bullet1"/>
      </w:pPr>
      <w:r>
        <w:t>inform users of important properties of the service and communicate warnings about service disruptions to the user;</w:t>
      </w:r>
    </w:p>
    <w:p w14:paraId="601FEACB" w14:textId="4CC5A8C6" w:rsidR="00E91836" w:rsidRDefault="00E91836" w:rsidP="00E91836">
      <w:pPr>
        <w:pStyle w:val="Bullet1"/>
      </w:pPr>
      <w:r>
        <w:t>manage any maintenance work or changes to the service in such a way where service disruption is minimized and the users are provided with advance warning;</w:t>
      </w:r>
    </w:p>
    <w:p w14:paraId="437F44AA" w14:textId="6645245D" w:rsidR="00E91836" w:rsidRDefault="00E91836" w:rsidP="00E91836">
      <w:pPr>
        <w:pStyle w:val="Bullet1"/>
      </w:pPr>
      <w:r>
        <w:t>verify the service is performing according to specifications and pr</w:t>
      </w:r>
      <w:r w:rsidR="00590E04">
        <w:t>ovide such information to users;</w:t>
      </w:r>
    </w:p>
    <w:p w14:paraId="0281DD07" w14:textId="0A80FECD" w:rsidR="00590E04" w:rsidRDefault="00590E04" w:rsidP="00E91836">
      <w:pPr>
        <w:pStyle w:val="Bullet1"/>
      </w:pPr>
      <w:r w:rsidRPr="00590E04">
        <w:t>Exchange information with users about achieved performance</w:t>
      </w:r>
      <w:r>
        <w:t>.</w:t>
      </w:r>
    </w:p>
    <w:p w14:paraId="56CD5DE9" w14:textId="57C13726" w:rsidR="00E91836" w:rsidRDefault="00E91836" w:rsidP="00E91836">
      <w:pPr>
        <w:pStyle w:val="Heading2"/>
      </w:pPr>
      <w:bookmarkStart w:id="58" w:name="_Toc336181799"/>
      <w:r>
        <w:t>Reference Datum</w:t>
      </w:r>
      <w:bookmarkEnd w:id="58"/>
    </w:p>
    <w:p w14:paraId="2A6D8C57" w14:textId="77777777" w:rsidR="00E91836" w:rsidRPr="00E91836" w:rsidRDefault="00E91836" w:rsidP="00E91836">
      <w:pPr>
        <w:pStyle w:val="Heading2separationline"/>
      </w:pPr>
    </w:p>
    <w:p w14:paraId="229788EA" w14:textId="78FCE1BE" w:rsidR="00590E04" w:rsidRDefault="00E91836" w:rsidP="00E91836">
      <w:pPr>
        <w:pStyle w:val="BodyText"/>
      </w:pPr>
      <w:r>
        <w:t>There is a need to ensure the interoperability of ASF data measured within different service providers’ territories.</w:t>
      </w:r>
      <w:r w:rsidR="002C658C">
        <w:t xml:space="preserve"> </w:t>
      </w:r>
      <w:r>
        <w:t xml:space="preserve"> The eLoran datum employed in a region will ultimately be derived from the position reference used to survey ASF data (related to the ground-truth system employed, for example WGS84 for DGNSS). </w:t>
      </w:r>
      <w:r w:rsidR="002C658C">
        <w:t xml:space="preserve"> </w:t>
      </w:r>
      <w:r>
        <w:t>The datum used should be stated in each of the service provider’s publications, however, it is recommended that WGS84 should be employed directly, or ASF and almanac data converted</w:t>
      </w:r>
      <w:r w:rsidR="009C7943">
        <w:t xml:space="preserve"> to WGS84 prior to publication.</w:t>
      </w:r>
    </w:p>
    <w:p w14:paraId="262F9FDF" w14:textId="3DA13D9E" w:rsidR="00E91836" w:rsidRDefault="00E91836" w:rsidP="002C658C">
      <w:pPr>
        <w:pStyle w:val="Heading2"/>
      </w:pPr>
      <w:bookmarkStart w:id="59" w:name="_Toc336181800"/>
      <w:r>
        <w:t>Monitoring</w:t>
      </w:r>
      <w:bookmarkEnd w:id="59"/>
    </w:p>
    <w:p w14:paraId="6DC5A8D1" w14:textId="77777777" w:rsidR="002C658C" w:rsidRPr="002C658C" w:rsidRDefault="002C658C" w:rsidP="002C658C">
      <w:pPr>
        <w:pStyle w:val="Heading2separationline"/>
      </w:pPr>
    </w:p>
    <w:p w14:paraId="0C14FEB7" w14:textId="027102AC" w:rsidR="00E91836" w:rsidRDefault="00E91836" w:rsidP="00E91836">
      <w:pPr>
        <w:pStyle w:val="BodyText"/>
      </w:pPr>
      <w:r>
        <w:t>On-site monitors should be provided at each transmitting station, to check the transmitt</w:t>
      </w:r>
      <w:r w:rsidR="002C658C">
        <w:t>ed signal and the data content.</w:t>
      </w:r>
    </w:p>
    <w:p w14:paraId="03B0D24E" w14:textId="70A95FD4" w:rsidR="00590E04" w:rsidRDefault="00E91836" w:rsidP="00E91836">
      <w:pPr>
        <w:pStyle w:val="BodyText"/>
      </w:pPr>
      <w:r>
        <w:t xml:space="preserve">Additional signal monitoring is recommended using receivers placed at sites within the coverage area, to validate broadcast site RF and signal performance. </w:t>
      </w:r>
      <w:r w:rsidR="0096308C">
        <w:t xml:space="preserve"> </w:t>
      </w:r>
      <w:r>
        <w:t xml:space="preserve">Communication lines to a central control and monitoring centre may link integrity monitors. </w:t>
      </w:r>
      <w:r w:rsidR="0096308C">
        <w:t xml:space="preserve"> </w:t>
      </w:r>
      <w:r>
        <w:t xml:space="preserve">Data may either be logged at the integrity or reference station and downloaded periodically or passed directly to the central control and monitoring centre. </w:t>
      </w:r>
      <w:r w:rsidR="0096308C">
        <w:t xml:space="preserve"> </w:t>
      </w:r>
      <w:r>
        <w:t xml:space="preserve">It is recommended that this data be archived for a period sufficient to meet </w:t>
      </w:r>
      <w:r w:rsidR="0096308C">
        <w:t>local litigation requirements.</w:t>
      </w:r>
    </w:p>
    <w:p w14:paraId="693B3260" w14:textId="23F38A2A" w:rsidR="00E91836" w:rsidRDefault="00E91836" w:rsidP="00E91836">
      <w:pPr>
        <w:pStyle w:val="BodyText"/>
      </w:pPr>
      <w:r>
        <w:t xml:space="preserve">Information on each DLoran reference station or integrity monitor shall be provided to a control and monitoring centre. </w:t>
      </w:r>
      <w:r w:rsidR="0096308C">
        <w:t xml:space="preserve"> </w:t>
      </w:r>
      <w:r>
        <w:t>The information will include:</w:t>
      </w:r>
    </w:p>
    <w:p w14:paraId="1F087A1F" w14:textId="4148B5F9" w:rsidR="00E91836" w:rsidRDefault="00CE42B8" w:rsidP="0096308C">
      <w:pPr>
        <w:pStyle w:val="Bullet1"/>
      </w:pPr>
      <w:r>
        <w:t>identity (</w:t>
      </w:r>
      <w:r w:rsidR="00E91836">
        <w:t>ID</w:t>
      </w:r>
      <w:r>
        <w:t>)</w:t>
      </w:r>
      <w:r w:rsidR="00E91836">
        <w:t xml:space="preserve"> of the Reference Station</w:t>
      </w:r>
      <w:r w:rsidR="0096308C">
        <w:t>;</w:t>
      </w:r>
    </w:p>
    <w:p w14:paraId="18AF0681" w14:textId="2EFFF595" w:rsidR="00E91836" w:rsidRDefault="0096308C" w:rsidP="0096308C">
      <w:pPr>
        <w:pStyle w:val="Bullet1"/>
      </w:pPr>
      <w:r>
        <w:t>i</w:t>
      </w:r>
      <w:r w:rsidR="00E91836">
        <w:t>ntegrity alert and type of alert as deemed necessary</w:t>
      </w:r>
      <w:r>
        <w:t>.</w:t>
      </w:r>
    </w:p>
    <w:p w14:paraId="4BB2032A" w14:textId="2C7D1DE3" w:rsidR="00E91836" w:rsidRDefault="00E91836" w:rsidP="0096308C">
      <w:pPr>
        <w:pStyle w:val="Heading2"/>
      </w:pPr>
      <w:bookmarkStart w:id="60" w:name="_Ref453936780"/>
      <w:bookmarkStart w:id="61" w:name="_Ref453944968"/>
      <w:bookmarkStart w:id="62" w:name="_Toc336181801"/>
      <w:r>
        <w:t>Publication of information</w:t>
      </w:r>
      <w:bookmarkEnd w:id="60"/>
      <w:bookmarkEnd w:id="61"/>
      <w:bookmarkEnd w:id="62"/>
    </w:p>
    <w:p w14:paraId="56F04F40" w14:textId="77777777" w:rsidR="0096308C" w:rsidRPr="0096308C" w:rsidRDefault="0096308C" w:rsidP="0096308C">
      <w:pPr>
        <w:pStyle w:val="Heading2separationline"/>
      </w:pPr>
    </w:p>
    <w:p w14:paraId="07302D7D" w14:textId="77777777" w:rsidR="00E91836" w:rsidRDefault="00E91836" w:rsidP="00E91836">
      <w:pPr>
        <w:pStyle w:val="BodyText"/>
      </w:pPr>
      <w:r>
        <w:t>Individual Service Providers are encouraged to publish service descriptions, including coverage predictions and system performance statistics.</w:t>
      </w:r>
    </w:p>
    <w:p w14:paraId="5E4DD5F9" w14:textId="5C1D3685" w:rsidR="00E91836" w:rsidRDefault="00E91836" w:rsidP="00E91836">
      <w:pPr>
        <w:pStyle w:val="BodyText"/>
      </w:pPr>
      <w:r>
        <w:t>In addition to the information contained in the standard LDC message types notice of current or planned signal unavailability should be provided to users through the appropriate service (e.g. coastal radio station, VTS, Navtex, Safetynet etc.)</w:t>
      </w:r>
      <w:r w:rsidR="0096308C">
        <w:t>.</w:t>
      </w:r>
    </w:p>
    <w:p w14:paraId="6B1688D2" w14:textId="31472865" w:rsidR="00E91836" w:rsidRDefault="00E91836" w:rsidP="00E91836">
      <w:pPr>
        <w:pStyle w:val="BodyText"/>
      </w:pPr>
      <w:r>
        <w:t>Wherever practicable, information on scheduled and unscheduled off-air periods should be promulgated to users as shown in</w:t>
      </w:r>
      <w:r w:rsidR="00BF67C2">
        <w:t xml:space="preserve"> </w:t>
      </w:r>
      <w:r w:rsidR="00BF67C2">
        <w:fldChar w:fldCharType="begin"/>
      </w:r>
      <w:r w:rsidR="00BF67C2">
        <w:instrText xml:space="preserve"> REF _Ref453946289 \r \h </w:instrText>
      </w:r>
      <w:r w:rsidR="00BF67C2">
        <w:fldChar w:fldCharType="separate"/>
      </w:r>
      <w:r w:rsidR="007D4931">
        <w:t>Table 6</w:t>
      </w:r>
      <w:r w:rsidR="00BF67C2">
        <w:fldChar w:fldCharType="end"/>
      </w:r>
      <w:r>
        <w:t>:</w:t>
      </w:r>
    </w:p>
    <w:p w14:paraId="4DD88BBD" w14:textId="653AF9EE" w:rsidR="00AD067C" w:rsidRDefault="0096308C" w:rsidP="0096308C">
      <w:pPr>
        <w:pStyle w:val="Tablecaption"/>
        <w:jc w:val="center"/>
      </w:pPr>
      <w:bookmarkStart w:id="63" w:name="_Ref453946289"/>
      <w:bookmarkStart w:id="64" w:name="_Toc336178220"/>
      <w:r w:rsidRPr="0096308C">
        <w:t>Information on maintenance and outages to be promulgated to users</w:t>
      </w:r>
      <w:bookmarkEnd w:id="63"/>
      <w:bookmarkEnd w:id="6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119"/>
        <w:gridCol w:w="3260"/>
      </w:tblGrid>
      <w:tr w:rsidR="0096308C" w:rsidRPr="001C5060" w14:paraId="18659DED" w14:textId="77777777" w:rsidTr="0096308C">
        <w:trPr>
          <w:jc w:val="center"/>
        </w:trPr>
        <w:tc>
          <w:tcPr>
            <w:tcW w:w="2518" w:type="dxa"/>
          </w:tcPr>
          <w:p w14:paraId="2124015C" w14:textId="77777777" w:rsidR="0096308C" w:rsidRPr="00D45F89" w:rsidRDefault="0096308C" w:rsidP="0096308C">
            <w:pPr>
              <w:pStyle w:val="Tableheading"/>
            </w:pPr>
            <w:r w:rsidRPr="00D45F89">
              <w:t>Event Type</w:t>
            </w:r>
          </w:p>
        </w:tc>
        <w:tc>
          <w:tcPr>
            <w:tcW w:w="3119" w:type="dxa"/>
          </w:tcPr>
          <w:p w14:paraId="7D54D792" w14:textId="77777777" w:rsidR="0096308C" w:rsidRPr="00D45F89" w:rsidRDefault="0096308C" w:rsidP="0096308C">
            <w:pPr>
              <w:pStyle w:val="Tableheading"/>
            </w:pPr>
            <w:r w:rsidRPr="00D45F89">
              <w:t>Date and Time Period</w:t>
            </w:r>
          </w:p>
        </w:tc>
        <w:tc>
          <w:tcPr>
            <w:tcW w:w="3260" w:type="dxa"/>
          </w:tcPr>
          <w:p w14:paraId="3ADF023C" w14:textId="77777777" w:rsidR="0096308C" w:rsidRPr="00D45F89" w:rsidRDefault="0096308C" w:rsidP="0096308C">
            <w:pPr>
              <w:pStyle w:val="Tableheading"/>
            </w:pPr>
            <w:r w:rsidRPr="00D45F89">
              <w:t>Provision of Notice</w:t>
            </w:r>
            <w:r>
              <w:t xml:space="preserve"> to Users</w:t>
            </w:r>
          </w:p>
        </w:tc>
      </w:tr>
      <w:tr w:rsidR="0096308C" w:rsidRPr="001C5060" w14:paraId="75C2C249" w14:textId="77777777" w:rsidTr="0096308C">
        <w:trPr>
          <w:jc w:val="center"/>
        </w:trPr>
        <w:tc>
          <w:tcPr>
            <w:tcW w:w="2518" w:type="dxa"/>
          </w:tcPr>
          <w:p w14:paraId="0D6856AE" w14:textId="77777777" w:rsidR="0096308C" w:rsidRPr="001C5060" w:rsidRDefault="0096308C" w:rsidP="0096308C">
            <w:pPr>
              <w:pStyle w:val="Tabletext"/>
            </w:pPr>
            <w:r w:rsidRPr="001C5060">
              <w:t>Scheduled maintenance</w:t>
            </w:r>
          </w:p>
        </w:tc>
        <w:tc>
          <w:tcPr>
            <w:tcW w:w="3119" w:type="dxa"/>
          </w:tcPr>
          <w:p w14:paraId="76D212EC" w14:textId="77777777" w:rsidR="0096308C" w:rsidRPr="001C5060" w:rsidRDefault="0096308C" w:rsidP="0096308C">
            <w:pPr>
              <w:pStyle w:val="Tabletext"/>
            </w:pPr>
            <w:r w:rsidRPr="001C5060">
              <w:t>Date and expected downtime</w:t>
            </w:r>
          </w:p>
        </w:tc>
        <w:tc>
          <w:tcPr>
            <w:tcW w:w="3260" w:type="dxa"/>
          </w:tcPr>
          <w:p w14:paraId="742CCD09" w14:textId="77777777" w:rsidR="0096308C" w:rsidRPr="001C5060" w:rsidRDefault="0096308C" w:rsidP="0096308C">
            <w:pPr>
              <w:pStyle w:val="Tabletext"/>
            </w:pPr>
            <w:r w:rsidRPr="001C5060">
              <w:t>One month in advance is recommended, but at least 1 week in advance is mandatory</w:t>
            </w:r>
          </w:p>
        </w:tc>
      </w:tr>
      <w:tr w:rsidR="0096308C" w:rsidRPr="001C5060" w14:paraId="648DD505" w14:textId="77777777" w:rsidTr="0096308C">
        <w:trPr>
          <w:jc w:val="center"/>
        </w:trPr>
        <w:tc>
          <w:tcPr>
            <w:tcW w:w="2518" w:type="dxa"/>
          </w:tcPr>
          <w:p w14:paraId="4BA459A3" w14:textId="77777777" w:rsidR="0096308C" w:rsidRPr="001C5060" w:rsidRDefault="0096308C" w:rsidP="0096308C">
            <w:pPr>
              <w:pStyle w:val="Tabletext"/>
            </w:pPr>
            <w:r w:rsidRPr="001C5060">
              <w:t>Unscheduled outages</w:t>
            </w:r>
          </w:p>
        </w:tc>
        <w:tc>
          <w:tcPr>
            <w:tcW w:w="3119" w:type="dxa"/>
          </w:tcPr>
          <w:p w14:paraId="7B0FAA70" w14:textId="77777777" w:rsidR="0096308C" w:rsidRPr="001C5060" w:rsidRDefault="0096308C" w:rsidP="0096308C">
            <w:pPr>
              <w:pStyle w:val="Tabletext"/>
            </w:pPr>
            <w:r w:rsidRPr="001C5060">
              <w:t>Expected downtime</w:t>
            </w:r>
          </w:p>
        </w:tc>
        <w:tc>
          <w:tcPr>
            <w:tcW w:w="3260" w:type="dxa"/>
          </w:tcPr>
          <w:p w14:paraId="230A7DEE" w14:textId="77777777" w:rsidR="0096308C" w:rsidRPr="001C5060" w:rsidRDefault="0096308C" w:rsidP="0096308C">
            <w:pPr>
              <w:pStyle w:val="Tabletext"/>
            </w:pPr>
            <w:r w:rsidRPr="001C5060">
              <w:t>As soon as practicable and not more than 1 hour after the occurrence</w:t>
            </w:r>
          </w:p>
        </w:tc>
      </w:tr>
    </w:tbl>
    <w:p w14:paraId="0775A31C" w14:textId="77777777" w:rsidR="00AD067C" w:rsidRDefault="00AD067C" w:rsidP="0096308C">
      <w:pPr>
        <w:pStyle w:val="BodyText"/>
      </w:pPr>
    </w:p>
    <w:p w14:paraId="1840F608" w14:textId="2233E1E9" w:rsidR="00590E04" w:rsidRDefault="0096308C" w:rsidP="0096308C">
      <w:pPr>
        <w:pStyle w:val="BodyText"/>
      </w:pPr>
      <w:r>
        <w:t>IALA Guideline 1016 on Bilateral Agreements and Inter-Ag</w:t>
      </w:r>
      <w:r w:rsidR="00BF67C2">
        <w:t>ency MoU</w:t>
      </w:r>
      <w:r>
        <w:t xml:space="preserve"> on the Provision of DGNSS services in the frequency band 283.5 kHz– 325 kHz contains examples of guidance on the information that should be exchanged between co-operating agencies and, where appropriate, the circumstances and timing for it to be exchanged. Those guidelines can be extended to eLoran by analogy.</w:t>
      </w:r>
    </w:p>
    <w:p w14:paraId="16370894" w14:textId="03550406" w:rsidR="00590E04" w:rsidRDefault="0096308C" w:rsidP="0096308C">
      <w:pPr>
        <w:pStyle w:val="BodyText"/>
      </w:pPr>
      <w:r>
        <w:t xml:space="preserve">IALA will maintain a master list of eLoran transmitters and reference stations on the Internet. Input to the master list will be prepared by each Service Provider.  IALA will provide an electronic template that should be used for initial entry of station data and assembly of the complete Service Provider submission.  After initial submission, </w:t>
      </w:r>
      <w:r w:rsidR="00BF67C2">
        <w:t xml:space="preserve">the </w:t>
      </w:r>
      <w:r>
        <w:t>Service Provider will be responsible for updating their own sections of the IALA master list.  The process to incorporate changes will require each Service Provider to provide a complete, updated section of the list for all the eLoran sites that they operate.  Each complete submission wi</w:t>
      </w:r>
      <w:r w:rsidR="00BF67C2">
        <w:t>ll appear exactly as submitted.</w:t>
      </w:r>
    </w:p>
    <w:p w14:paraId="52DC880E" w14:textId="51C52478" w:rsidR="00590E04" w:rsidRDefault="0096308C" w:rsidP="0096308C">
      <w:pPr>
        <w:pStyle w:val="BodyText"/>
      </w:pPr>
      <w:r>
        <w:t>The service provider is recommended to publish that they follow IMO Resolutions and IALA Recommendations for the provision of eLoran, giving emphasis to the provision of integrity information.</w:t>
      </w:r>
    </w:p>
    <w:p w14:paraId="47F93523" w14:textId="38BB7B59" w:rsidR="00DC5DEB" w:rsidRDefault="00590E04" w:rsidP="00DC5DEB">
      <w:pPr>
        <w:pStyle w:val="BodyText"/>
      </w:pPr>
      <w:r w:rsidRPr="00590E04">
        <w:t>The service provider is required to tell the user at which ports, or within which areas, they can expect to receive eLoran signals and where they can expect the service to achieve specific performance.</w:t>
      </w:r>
    </w:p>
    <w:p w14:paraId="3DC0D5BA" w14:textId="71FF9AD9" w:rsidR="0096308C" w:rsidRDefault="0096308C" w:rsidP="0096308C">
      <w:pPr>
        <w:pStyle w:val="BodyText"/>
      </w:pPr>
      <w:r>
        <w:t>eLoran transmitter and almanac information shall also be made available in IHO S-200 format, which will then afford the data’s provision by e-Navigation service.  The current S-200 series designations for eLoran are:</w:t>
      </w:r>
    </w:p>
    <w:p w14:paraId="29D402E2" w14:textId="5D8BB34F" w:rsidR="0096308C" w:rsidRDefault="0096308C" w:rsidP="0096308C">
      <w:pPr>
        <w:pStyle w:val="Bullet1"/>
      </w:pPr>
      <w:r>
        <w:t>S-245: ASF (Additional Secondary Factor) data;</w:t>
      </w:r>
    </w:p>
    <w:p w14:paraId="457F686D" w14:textId="4185A9FE" w:rsidR="0096308C" w:rsidRDefault="0096308C" w:rsidP="0096308C">
      <w:pPr>
        <w:pStyle w:val="Bullet1"/>
      </w:pPr>
      <w:r>
        <w:t>S-246: eLoran transmitter almanac data;</w:t>
      </w:r>
    </w:p>
    <w:p w14:paraId="43D5ECA6" w14:textId="3FD75003" w:rsidR="0096308C" w:rsidRDefault="0096308C" w:rsidP="0096308C">
      <w:pPr>
        <w:pStyle w:val="Bullet1"/>
      </w:pPr>
      <w:r>
        <w:t>S-247: Differential-Loran Reference Station almanac data.</w:t>
      </w:r>
    </w:p>
    <w:p w14:paraId="5575F38E" w14:textId="42255BA8" w:rsidR="0096308C" w:rsidRDefault="0096308C" w:rsidP="0096308C">
      <w:pPr>
        <w:pStyle w:val="Heading2"/>
      </w:pPr>
      <w:bookmarkStart w:id="65" w:name="_Toc336181802"/>
      <w:r>
        <w:t>Performance Verification</w:t>
      </w:r>
      <w:bookmarkEnd w:id="65"/>
    </w:p>
    <w:p w14:paraId="2E3A0A55" w14:textId="77777777" w:rsidR="0096308C" w:rsidRPr="0096308C" w:rsidRDefault="0096308C" w:rsidP="0096308C">
      <w:pPr>
        <w:pStyle w:val="Heading2separationline"/>
      </w:pPr>
    </w:p>
    <w:p w14:paraId="60794F87" w14:textId="77777777" w:rsidR="00DC5DEB" w:rsidRDefault="00DC5DEB" w:rsidP="00DC5DEB">
      <w:pPr>
        <w:pStyle w:val="BodyText"/>
      </w:pPr>
      <w:r>
        <w:t xml:space="preserve">It is recommended that the service provider monitors the performance of the service continuously in order both to detect service disruptions and to determine if the performance requirements are being met over an extended period of time. In this way, the service provider can verify the accuracy, integrity, availability and continuity of the service. </w:t>
      </w:r>
    </w:p>
    <w:p w14:paraId="59A3B3B0" w14:textId="0B99ACD2" w:rsidR="0096308C" w:rsidRDefault="00DC5DEB" w:rsidP="00DC5DEB">
      <w:pPr>
        <w:pStyle w:val="BodyText"/>
      </w:pPr>
      <w:r>
        <w:t xml:space="preserve">Performance should take account of the declared eLoran service coverage area. In order to maximize the combined performance service providers should follow the guidelines outlined in </w:t>
      </w:r>
      <w:r w:rsidRPr="002D2376">
        <w:t>Section 3.1.</w:t>
      </w:r>
    </w:p>
    <w:p w14:paraId="7831566D" w14:textId="63E53144" w:rsidR="0096308C" w:rsidRDefault="00DC5DEB" w:rsidP="0096308C">
      <w:pPr>
        <w:pStyle w:val="Heading3"/>
      </w:pPr>
      <w:bookmarkStart w:id="66" w:name="_Toc336181803"/>
      <w:r w:rsidRPr="00DC5DEB">
        <w:t>Generic Requirements for Service Verification</w:t>
      </w:r>
      <w:bookmarkEnd w:id="66"/>
      <w:r w:rsidRPr="00DC5DEB">
        <w:t xml:space="preserve"> </w:t>
      </w:r>
    </w:p>
    <w:p w14:paraId="42425973" w14:textId="77777777" w:rsidR="00DC5DEB" w:rsidRDefault="00DC5DEB" w:rsidP="00DC5DEB">
      <w:pPr>
        <w:pStyle w:val="BodyText"/>
      </w:pPr>
      <w:r>
        <w:t xml:space="preserve">Published coverage diagrams are normally based on software modelling predictions and should be verified by measurements. Coverage modelling should include predictions for accuracy, integrity, availability and continuity. </w:t>
      </w:r>
    </w:p>
    <w:p w14:paraId="066E70EA" w14:textId="77777777" w:rsidR="00DC5DEB" w:rsidRDefault="00DC5DEB" w:rsidP="00DC5DEB">
      <w:pPr>
        <w:pStyle w:val="BodyText"/>
      </w:pPr>
      <w:r>
        <w:t xml:space="preserve">The modelling process can be quite complex and difficult, especially over mixed land/sea paths. Advice regarding modelling can be sought through IALA, and background technical information is available as described in Section 2.1; providing guidance and references in order to accomplish a capability in coverage prediction. </w:t>
      </w:r>
    </w:p>
    <w:p w14:paraId="086B8151" w14:textId="12C99FB0" w:rsidR="00DC5DEB" w:rsidRDefault="00DC5DEB" w:rsidP="00DC5DEB">
      <w:pPr>
        <w:pStyle w:val="BodyText"/>
      </w:pPr>
      <w:r>
        <w:t xml:space="preserve">Measurements to verify eLoran Coverage can be gathered from </w:t>
      </w:r>
      <w:r w:rsidRPr="00DC5DEB">
        <w:rPr>
          <w:b/>
          <w:i/>
        </w:rPr>
        <w:t>static</w:t>
      </w:r>
      <w:r>
        <w:t xml:space="preserve"> monitors at fixed and known locations, or </w:t>
      </w:r>
      <w:r w:rsidRPr="00DC5DEB">
        <w:rPr>
          <w:b/>
          <w:i/>
        </w:rPr>
        <w:t>dynamic</w:t>
      </w:r>
      <w:r>
        <w:t xml:space="preserve"> monitors hosted aboard ‘vessels of convenience’, which may be the service provider’s own vessels or vessels belonging to other regional partners. In either instance, data should be recorded and stored locally by the monitoring receiver for later analysis and processing. At minimum the following data should be recorded:</w:t>
      </w:r>
      <w:r w:rsidRPr="00DC5DEB">
        <w:t xml:space="preserve"> </w:t>
      </w:r>
    </w:p>
    <w:p w14:paraId="1F4CC8CF" w14:textId="09ECA334" w:rsidR="00DC5DEB" w:rsidRDefault="00DC5DEB" w:rsidP="00DC5DEB">
      <w:pPr>
        <w:pStyle w:val="Bullet1"/>
      </w:pPr>
      <w:r w:rsidRPr="00DC5DEB">
        <w:t>eLoran position-fix data at intervals of no more than 5 seconds</w:t>
      </w:r>
      <w:r>
        <w:t>;</w:t>
      </w:r>
    </w:p>
    <w:p w14:paraId="563DAE19" w14:textId="3AD56AFA" w:rsidR="00DC5DEB" w:rsidRDefault="00DC5DEB" w:rsidP="00DC5DEB">
      <w:pPr>
        <w:pStyle w:val="Bullet1"/>
      </w:pPr>
      <w:r w:rsidRPr="00DC5DEB">
        <w:t>Integrity information relating to each eLoran position-fix, indicating whether RAIM is possible, and if so, whether the fix is declared good (‘green-light’) or bad (‘red-light’)</w:t>
      </w:r>
      <w:r>
        <w:t>;</w:t>
      </w:r>
    </w:p>
    <w:p w14:paraId="047C97BA" w14:textId="518AEF19" w:rsidR="00DC5DEB" w:rsidRDefault="00DC5DEB" w:rsidP="00DC5DEB">
      <w:pPr>
        <w:pStyle w:val="Bullet1"/>
      </w:pPr>
      <w:r w:rsidRPr="00DC5DEB">
        <w:t>Ground-truth location of receiver (either the precisely surveyed location of a static receiver, or the current differentially-corrected GNSS location of the vessel)</w:t>
      </w:r>
      <w:r>
        <w:t>;</w:t>
      </w:r>
    </w:p>
    <w:p w14:paraId="5F977C5D" w14:textId="5902ECAA" w:rsidR="00DC5DEB" w:rsidRDefault="00DC5DEB" w:rsidP="00DC5DEB">
      <w:pPr>
        <w:pStyle w:val="Bullet1"/>
      </w:pPr>
      <w:r w:rsidRPr="00DC5DEB">
        <w:t>The precise (UTC) time of the eLoran position-fixing. For dynamic verification on-board a vessel, the UTC time of the ground-truth position-fixing is also required.</w:t>
      </w:r>
    </w:p>
    <w:p w14:paraId="603A30F6" w14:textId="77777777" w:rsidR="00DC5DEB" w:rsidRDefault="00DC5DEB" w:rsidP="00DC5DEB">
      <w:pPr>
        <w:pStyle w:val="BodyText"/>
      </w:pPr>
      <w:r>
        <w:t xml:space="preserve">eLoran position-fixing shall be by a Weighted Least Squares All-in-View solution of ASF-corrected and differentially-corrected pseudo-ranges, as described in RTCM SC-127 eLoran Receiver Performance Specifications </w:t>
      </w:r>
      <w:r w:rsidRPr="002D2376">
        <w:t>[2]</w:t>
      </w:r>
      <w:r>
        <w:t>. Integrity algorithms should obey all external integrity alerts, including early-skywave warnings and do-not-use flags when selecting the sub-set of eLoran pseudo-ranges used for position-fixing.</w:t>
      </w:r>
    </w:p>
    <w:p w14:paraId="33753512" w14:textId="77777777" w:rsidR="00DC5DEB" w:rsidRDefault="00DC5DEB" w:rsidP="00DC5DEB">
      <w:pPr>
        <w:pStyle w:val="BodyText"/>
      </w:pPr>
      <w:r>
        <w:t xml:space="preserve">Internal Integrity (RAIM) by hypothesis-tested Solution-Separation (as described in </w:t>
      </w:r>
      <w:r w:rsidRPr="002D2376">
        <w:t>[2]</w:t>
      </w:r>
      <w:r>
        <w:t>) shall be applied after the position-fix has been calculated to determine whether the fix is declared good (‘green-light’) or bad (‘red-light’). If Integrity cannot be determined, the receiver should declare this to be the case (‘yellow-light’). A Horizontal Protection Level (HPL) shall be calculated based on the estimated accuracy of the pseudo-ranges used in solution, including the error contributions from the underlying ASF map and broadcast differential-corrections. If this HPL exceeds the pre-set Alert Limit an Integrity ‘red-light’ should be declared and presented to the user within the specified Time to Alarm.</w:t>
      </w:r>
    </w:p>
    <w:p w14:paraId="3281B600" w14:textId="77777777" w:rsidR="00DC5DEB" w:rsidRDefault="00DC5DEB" w:rsidP="00DC5DEB">
      <w:pPr>
        <w:pStyle w:val="BodyText"/>
      </w:pPr>
      <w:r>
        <w:t>Alternatively, an Integrity technique that can be shown to be mathematically not worse than Solution-Separation RAIM in terms of Integrity performance can be employed.</w:t>
      </w:r>
    </w:p>
    <w:p w14:paraId="352FFC43" w14:textId="77777777" w:rsidR="00DC5DEB" w:rsidRDefault="00DC5DEB" w:rsidP="00DC5DEB">
      <w:pPr>
        <w:pStyle w:val="BodyText"/>
      </w:pPr>
      <w:r>
        <w:t xml:space="preserve">If for any reason the eLoran receivers used for the verification are not compliant with SC-127 performance specifications (for example, if the receiver does not output RAIM or HPL information, or does not perform all-in-view positioning, or does not obey early-skywave warnings) then this processing can be done ‘offline’ in post-processing for validation purposes. </w:t>
      </w:r>
    </w:p>
    <w:p w14:paraId="1AED61F6" w14:textId="0CED5D27" w:rsidR="0096308C" w:rsidRDefault="00DC5DEB" w:rsidP="00DC5DEB">
      <w:pPr>
        <w:pStyle w:val="BodyText"/>
      </w:pPr>
      <w:r>
        <w:t>In the following sub-sections we present the additional requirements for the verification of each of the individual navigation performance parameters.</w:t>
      </w:r>
    </w:p>
    <w:p w14:paraId="091B473C" w14:textId="151CE7E9" w:rsidR="00DC5DEB" w:rsidRDefault="00DC5DEB" w:rsidP="00DC5DEB">
      <w:pPr>
        <w:pStyle w:val="Heading4"/>
      </w:pPr>
      <w:r w:rsidRPr="00DC5DEB">
        <w:t xml:space="preserve">The Amount of Measurement Data Required for Successful Verification </w:t>
      </w:r>
    </w:p>
    <w:p w14:paraId="1B14B3EE" w14:textId="77777777" w:rsidR="00DC5DEB" w:rsidRDefault="00DC5DEB" w:rsidP="00DC5DEB">
      <w:pPr>
        <w:pStyle w:val="BodyText"/>
      </w:pPr>
      <w:r>
        <w:t xml:space="preserve">It is recommended that in what follows data is measured and logged over a period of at least 12 months for </w:t>
      </w:r>
      <w:r w:rsidRPr="00DC5DEB">
        <w:rPr>
          <w:b/>
          <w:i/>
        </w:rPr>
        <w:t>accuracy</w:t>
      </w:r>
      <w:r>
        <w:t xml:space="preserve">, </w:t>
      </w:r>
      <w:r w:rsidRPr="00DC5DEB">
        <w:rPr>
          <w:b/>
          <w:i/>
        </w:rPr>
        <w:t>availability</w:t>
      </w:r>
      <w:r>
        <w:t xml:space="preserve"> and </w:t>
      </w:r>
      <w:r w:rsidRPr="00DC5DEB">
        <w:rPr>
          <w:b/>
          <w:i/>
        </w:rPr>
        <w:t>integrity</w:t>
      </w:r>
      <w:r>
        <w:t xml:space="preserve"> verification; and 2 years for </w:t>
      </w:r>
      <w:r w:rsidRPr="00DC5DEB">
        <w:rPr>
          <w:b/>
          <w:i/>
        </w:rPr>
        <w:t>continuity</w:t>
      </w:r>
      <w:r>
        <w:t xml:space="preserve"> verification. </w:t>
      </w:r>
    </w:p>
    <w:p w14:paraId="2B551A3D" w14:textId="2A11CB64" w:rsidR="005E6BCE" w:rsidRDefault="00DC5DEB" w:rsidP="00DC5DEB">
      <w:pPr>
        <w:pStyle w:val="BodyText"/>
      </w:pPr>
      <w:r>
        <w:t xml:space="preserve">The service provider is free to decide to use a shorter measurement period, but the consequences of this need to be understood. </w:t>
      </w:r>
      <w:r w:rsidRPr="002D2376">
        <w:t>Appendix A</w:t>
      </w:r>
      <w:r>
        <w:t xml:space="preserve"> to this document provides guidance on the effect of using shorter measurement periods for service verification.</w:t>
      </w:r>
    </w:p>
    <w:p w14:paraId="1FD3CDB2" w14:textId="35E890E1" w:rsidR="0096308C" w:rsidRDefault="00CE1A21" w:rsidP="0096308C">
      <w:pPr>
        <w:pStyle w:val="Heading3"/>
      </w:pPr>
      <w:bookmarkStart w:id="67" w:name="_Toc336181804"/>
      <w:r>
        <w:t>Accuracy</w:t>
      </w:r>
      <w:r w:rsidR="0096308C">
        <w:t xml:space="preserve"> Verification</w:t>
      </w:r>
      <w:bookmarkEnd w:id="67"/>
    </w:p>
    <w:p w14:paraId="4F7BC80E" w14:textId="77777777" w:rsidR="00A46CD4" w:rsidRPr="00A46CD4" w:rsidRDefault="00A46CD4" w:rsidP="00A46CD4">
      <w:pPr>
        <w:rPr>
          <w:sz w:val="22"/>
        </w:rPr>
      </w:pPr>
      <w:r w:rsidRPr="00A46CD4">
        <w:rPr>
          <w:sz w:val="22"/>
        </w:rPr>
        <w:t>Where differential eLoran corrections are provided e.g. in Port and Port Approach areas, the absolute horizontal accuracy should be better than 10 m at the 95% probability level within the published coverage area; for Coastal Voyage phase areas the accuracy should be better than 100 m at the 95% probability level.  Future eLoran receivers will form one component of a multi-source receiver unit. Under normal operations this allows the possibility to measure the performance of eLoran against one or more GNSS (including DGNSS).</w:t>
      </w:r>
    </w:p>
    <w:p w14:paraId="35C5A48D" w14:textId="223DBF82" w:rsidR="00A46CD4" w:rsidRDefault="00CE1A21" w:rsidP="00A46CD4">
      <w:pPr>
        <w:pStyle w:val="Heading4"/>
      </w:pPr>
      <w:r>
        <w:t>Accuracy</w:t>
      </w:r>
      <w:r w:rsidR="00A46CD4">
        <w:t xml:space="preserve"> Verification Method </w:t>
      </w:r>
    </w:p>
    <w:p w14:paraId="21A7AEFC" w14:textId="627FF73E" w:rsidR="002A2A92" w:rsidRDefault="00A46CD4" w:rsidP="00A46CD4">
      <w:pPr>
        <w:pStyle w:val="BodyText"/>
      </w:pPr>
      <w:r w:rsidRPr="00A46CD4">
        <w:t>Accuracy assessment for eLoran Service verification is done by considering all ‘green-light’ position-fixes output by the monitor receiver. The horizontal accuracy of these is determined by calculating their geographical distance (in meters) from the known ground-truth. The absolute magnitude of these horizontal errors are ranked in order from smallest to largest, and assembled into accuracy ‘bins’ in order to produce a Cumulative Distribution Function (CDF). The Service Accuracy is given as the 95th percentile horizontal error (i.e. the error on the fix for which 95% of all fixes lie closer to the ground-truth).</w:t>
      </w:r>
    </w:p>
    <w:p w14:paraId="6F4C46F4" w14:textId="0653E53C" w:rsidR="0069791D" w:rsidRDefault="001F6479" w:rsidP="007D36A3">
      <w:pPr>
        <w:pStyle w:val="Heading3"/>
      </w:pPr>
      <w:bookmarkStart w:id="68" w:name="_Toc336181805"/>
      <w:r>
        <w:t>Integrity</w:t>
      </w:r>
      <w:r w:rsidR="0069791D">
        <w:t xml:space="preserve"> Verification</w:t>
      </w:r>
      <w:bookmarkEnd w:id="68"/>
    </w:p>
    <w:p w14:paraId="0BB2B77B" w14:textId="5853557F" w:rsidR="001F6479" w:rsidRDefault="001F6479" w:rsidP="001F6479">
      <w:pPr>
        <w:pStyle w:val="BodyText"/>
      </w:pPr>
      <w:r>
        <w:t>Integrity is defined by the IMO as:</w:t>
      </w:r>
    </w:p>
    <w:p w14:paraId="3F1CF115" w14:textId="1003D57C" w:rsidR="001F6479" w:rsidRDefault="001F6479" w:rsidP="001F6479">
      <w:pPr>
        <w:pStyle w:val="BodyText"/>
      </w:pPr>
      <w:r w:rsidRPr="001F6479">
        <w:rPr>
          <w:b/>
          <w:i/>
        </w:rPr>
        <w:t>The ability to provide users with warnings within a specified time when the system should not be used for navigation</w:t>
      </w:r>
      <w:r>
        <w:t xml:space="preserve">. </w:t>
      </w:r>
    </w:p>
    <w:p w14:paraId="54598AD2" w14:textId="77777777" w:rsidR="001F6479" w:rsidRDefault="001F6479" w:rsidP="001F6479">
      <w:pPr>
        <w:pStyle w:val="BodyText"/>
      </w:pPr>
      <w:r>
        <w:t>For a service to provide integrity it must be possible to monitor error thresholds set by the service provider, and provide alerts to users of the service should those thresholds be breached. The alerts should be provided within a specified time to alarm (defined below).</w:t>
      </w:r>
    </w:p>
    <w:p w14:paraId="6DF9D1C5" w14:textId="3276114A" w:rsidR="001F6479" w:rsidRDefault="001F6479" w:rsidP="001F6479">
      <w:pPr>
        <w:pStyle w:val="BodyText"/>
      </w:pPr>
      <w:r>
        <w:t xml:space="preserve">Numerically, integrity is often specified as </w:t>
      </w:r>
      <w:r w:rsidRPr="001F6479">
        <w:rPr>
          <w:b/>
          <w:i/>
        </w:rPr>
        <w:t>Integrity Risk</w:t>
      </w:r>
      <w:r>
        <w:t>, which is defined by the IMO as:</w:t>
      </w:r>
    </w:p>
    <w:p w14:paraId="23F1637C" w14:textId="77777777" w:rsidR="001F6479" w:rsidRDefault="001F6479" w:rsidP="001F6479">
      <w:pPr>
        <w:pStyle w:val="BodyText"/>
      </w:pPr>
      <w:r w:rsidRPr="001F6479">
        <w:rPr>
          <w:b/>
          <w:i/>
        </w:rPr>
        <w:t>The probability that a user will experience a position error larger than the threshold value without an alarm being raised within the specified time to alarm at any instant of time at any location in the coverage area</w:t>
      </w:r>
      <w:r>
        <w:t xml:space="preserve">. </w:t>
      </w:r>
    </w:p>
    <w:p w14:paraId="4D63E220" w14:textId="0037F83D" w:rsidR="001F6479" w:rsidRDefault="001F6479" w:rsidP="001F6479">
      <w:pPr>
        <w:pStyle w:val="BodyText"/>
      </w:pPr>
      <w:r>
        <w:t xml:space="preserve">These and other definitions and terms used for defining integrity are used by analogy to the ICAO GNSS SARPs (GNSS Standards and Recommended Practices) </w:t>
      </w:r>
      <w:r w:rsidRPr="002D2376">
        <w:t>[1</w:t>
      </w:r>
      <w:r w:rsidR="00B27C78">
        <w:t>8</w:t>
      </w:r>
      <w:r w:rsidRPr="002D2376">
        <w:t>]</w:t>
      </w:r>
      <w:r>
        <w:t xml:space="preserve">, as have been adopted for aviation WAAS (Wide Area Augmentation System), including EGNOS </w:t>
      </w:r>
      <w:r w:rsidRPr="002D2376">
        <w:t>[</w:t>
      </w:r>
      <w:r w:rsidR="00B27C78">
        <w:t>19</w:t>
      </w:r>
      <w:r w:rsidRPr="002D2376">
        <w:t>]</w:t>
      </w:r>
      <w:r>
        <w:t xml:space="preserve">, integrity analysis. </w:t>
      </w:r>
    </w:p>
    <w:p w14:paraId="7B1FCFCE" w14:textId="5B380002" w:rsidR="001F6479" w:rsidRDefault="001F6479" w:rsidP="001F6479">
      <w:pPr>
        <w:pStyle w:val="BodyText"/>
      </w:pPr>
      <w:r>
        <w:t>There are two forms of integrity monitoring that the service provider should be aware of:</w:t>
      </w:r>
      <w:r w:rsidRPr="001F6479">
        <w:t xml:space="preserve"> </w:t>
      </w:r>
      <w:r w:rsidRPr="00DC5DEB">
        <w:t xml:space="preserve"> </w:t>
      </w:r>
    </w:p>
    <w:p w14:paraId="1AFFFC99" w14:textId="14B11CF1" w:rsidR="001F6479" w:rsidRDefault="001F6479" w:rsidP="001F6479">
      <w:pPr>
        <w:pStyle w:val="Bullet1"/>
      </w:pPr>
      <w:r w:rsidRPr="001F6479">
        <w:t>Infrastructure (External) based integrity monitoring</w:t>
      </w:r>
      <w:r>
        <w:t>;</w:t>
      </w:r>
    </w:p>
    <w:p w14:paraId="2EB723A4" w14:textId="38640BF3" w:rsidR="001F6479" w:rsidRDefault="001F6479" w:rsidP="001F6479">
      <w:pPr>
        <w:pStyle w:val="Bullet1"/>
      </w:pPr>
      <w:r>
        <w:t xml:space="preserve">User Receiver (Internal) based integrity monitoring. </w:t>
      </w:r>
    </w:p>
    <w:p w14:paraId="712B455D" w14:textId="083E18FA" w:rsidR="001F6479" w:rsidRDefault="001F6479" w:rsidP="001F6479">
      <w:pPr>
        <w:pStyle w:val="Heading4"/>
      </w:pPr>
      <w:r w:rsidRPr="001F6479">
        <w:t xml:space="preserve">Infrastructure Based Integrity Monitoring </w:t>
      </w:r>
    </w:p>
    <w:p w14:paraId="2381DA44" w14:textId="4EDCD68E" w:rsidR="001F6479" w:rsidRDefault="001F6479" w:rsidP="001F6479">
      <w:pPr>
        <w:pStyle w:val="Bullet1"/>
        <w:numPr>
          <w:ilvl w:val="0"/>
          <w:numId w:val="0"/>
        </w:numPr>
      </w:pPr>
      <w:r w:rsidRPr="001F6479">
        <w:t>System status information will be vital to maintaining knowledge of integrity and positioning accuracy. eLoran integrity alerts shall be generated by an infrastructure (external) based integrity monitoring system There are two different types of alert that require to be monitored:</w:t>
      </w:r>
    </w:p>
    <w:p w14:paraId="226E7A69" w14:textId="69CC718A" w:rsidR="001F6479" w:rsidRDefault="001F6479" w:rsidP="001F6479">
      <w:pPr>
        <w:pStyle w:val="Bullet1"/>
      </w:pPr>
      <w:r w:rsidRPr="001F6479">
        <w:t>Core eLoran Signal-in-Space</w:t>
      </w:r>
      <w:r>
        <w:t>;</w:t>
      </w:r>
    </w:p>
    <w:p w14:paraId="632CAA40" w14:textId="438C4167" w:rsidR="001F6479" w:rsidRDefault="001F6479" w:rsidP="001F6479">
      <w:pPr>
        <w:pStyle w:val="Bullet1"/>
      </w:pPr>
      <w:r>
        <w:t xml:space="preserve">Differential-Loran. </w:t>
      </w:r>
    </w:p>
    <w:p w14:paraId="7F6D93AE" w14:textId="29C767FC" w:rsidR="00DA17FE" w:rsidRPr="00DA17FE" w:rsidRDefault="00DA17FE" w:rsidP="001F6479">
      <w:pPr>
        <w:pStyle w:val="Bullet1"/>
        <w:numPr>
          <w:ilvl w:val="0"/>
          <w:numId w:val="0"/>
        </w:numPr>
        <w:rPr>
          <w:b/>
          <w:u w:val="single"/>
        </w:rPr>
      </w:pPr>
      <w:r w:rsidRPr="00DA17FE">
        <w:rPr>
          <w:b/>
          <w:u w:val="single"/>
        </w:rPr>
        <w:t>Core eLoran Signal-in-Space</w:t>
      </w:r>
    </w:p>
    <w:p w14:paraId="36FBCE26" w14:textId="69EF71EB" w:rsidR="001F6479" w:rsidRDefault="001F6479" w:rsidP="001F6479">
      <w:pPr>
        <w:pStyle w:val="Bullet1"/>
        <w:numPr>
          <w:ilvl w:val="0"/>
          <w:numId w:val="0"/>
        </w:numPr>
      </w:pPr>
      <w:r w:rsidRPr="001F6479">
        <w:t xml:space="preserve">To alert </w:t>
      </w:r>
      <w:r w:rsidRPr="00DA17FE">
        <w:rPr>
          <w:color w:val="auto"/>
        </w:rPr>
        <w:t xml:space="preserve">the user to poor quality eLoran signal conditions, or a signal outage. In addition, external integrity monitoring may be required to monitor for the existence of rare “early skywave” events </w:t>
      </w:r>
      <w:r w:rsidRPr="002D2376">
        <w:rPr>
          <w:color w:val="auto"/>
        </w:rPr>
        <w:t>[1</w:t>
      </w:r>
      <w:r w:rsidR="00B27C78">
        <w:rPr>
          <w:color w:val="auto"/>
        </w:rPr>
        <w:t>2</w:t>
      </w:r>
      <w:r w:rsidRPr="002D2376">
        <w:rPr>
          <w:color w:val="auto"/>
        </w:rPr>
        <w:t>]</w:t>
      </w:r>
      <w:r w:rsidRPr="00DA17FE">
        <w:rPr>
          <w:color w:val="auto"/>
        </w:rPr>
        <w:t>. Early Skywave is an effect whereupon a copy of the “wanted” groundwave signal pulse arrives by skywave reflection when the ionosphere is particularly low in altitude owing to strong solar activity. The magnitude of the effect depends on the distance between a user and the respective eLoran transmitter, and the user’s geomagnetic latitude. Where necessary ‘early skywave’</w:t>
      </w:r>
      <w:r w:rsidRPr="001F6479">
        <w:t xml:space="preserve"> monitors should be insta</w:t>
      </w:r>
      <w:r>
        <w:t xml:space="preserve">lled at suitable locations </w:t>
      </w:r>
      <w:r w:rsidRPr="002D2376">
        <w:t>[1</w:t>
      </w:r>
      <w:r w:rsidR="00B27C78">
        <w:t>6</w:t>
      </w:r>
      <w:r w:rsidRPr="002D2376">
        <w:t>],</w:t>
      </w:r>
      <w:r w:rsidR="00DA17FE" w:rsidRPr="002D2376">
        <w:t xml:space="preserve"> </w:t>
      </w:r>
      <w:r w:rsidRPr="002D2376">
        <w:t>[1</w:t>
      </w:r>
      <w:r w:rsidR="00B27C78">
        <w:t>7</w:t>
      </w:r>
      <w:r w:rsidRPr="002D2376">
        <w:t>]</w:t>
      </w:r>
      <w:r w:rsidRPr="001F6479">
        <w:t>.</w:t>
      </w:r>
    </w:p>
    <w:p w14:paraId="5F18832C" w14:textId="461B6347" w:rsidR="00DA17FE" w:rsidRPr="00DA17FE" w:rsidRDefault="00DA17FE" w:rsidP="00DA17FE">
      <w:pPr>
        <w:pStyle w:val="Bullet1"/>
        <w:numPr>
          <w:ilvl w:val="0"/>
          <w:numId w:val="0"/>
        </w:numPr>
        <w:rPr>
          <w:b/>
          <w:u w:val="single"/>
        </w:rPr>
      </w:pPr>
      <w:r>
        <w:rPr>
          <w:b/>
          <w:u w:val="single"/>
        </w:rPr>
        <w:t>Differential-Loran</w:t>
      </w:r>
    </w:p>
    <w:p w14:paraId="709A106D" w14:textId="6AF01DE1" w:rsidR="001F6479" w:rsidRPr="00DA17FE" w:rsidRDefault="00DA17FE" w:rsidP="00DA17FE">
      <w:pPr>
        <w:pStyle w:val="Bullet1"/>
        <w:numPr>
          <w:ilvl w:val="0"/>
          <w:numId w:val="0"/>
        </w:numPr>
        <w:ind w:left="425" w:hanging="425"/>
        <w:rPr>
          <w:color w:val="auto"/>
        </w:rPr>
      </w:pPr>
      <w:r w:rsidRPr="00DA17FE">
        <w:rPr>
          <w:color w:val="auto"/>
        </w:rPr>
        <w:t>Alerting the user to any reduction in the performance capability of the broadcast differential corrections.</w:t>
      </w:r>
    </w:p>
    <w:p w14:paraId="18B74151" w14:textId="0C8A6DB8" w:rsidR="00DA17FE" w:rsidRDefault="00DA17FE" w:rsidP="00DA17FE">
      <w:pPr>
        <w:pStyle w:val="Bullet1"/>
        <w:numPr>
          <w:ilvl w:val="0"/>
          <w:numId w:val="0"/>
        </w:numPr>
        <w:rPr>
          <w:color w:val="auto"/>
        </w:rPr>
      </w:pPr>
      <w:r w:rsidRPr="00DA17FE">
        <w:rPr>
          <w:color w:val="auto"/>
        </w:rPr>
        <w:t>In both types of monitoring, the eLoran integrity information is disseminated by the Loran Data Channel (LDC). On the rare occasions when strong sky wave interference is likely, or there is likely to be a transmitter or differential correction data outage, users should be notified within a particular time-to-alarm period (typically 10 seconds according to IMO requirements).</w:t>
      </w:r>
    </w:p>
    <w:p w14:paraId="5C7038DD" w14:textId="5FAB6250" w:rsidR="00DA17FE" w:rsidRDefault="00DA17FE" w:rsidP="00DA17FE">
      <w:pPr>
        <w:pStyle w:val="Bullet1"/>
        <w:numPr>
          <w:ilvl w:val="0"/>
          <w:numId w:val="0"/>
        </w:numPr>
        <w:rPr>
          <w:color w:val="auto"/>
        </w:rPr>
      </w:pPr>
      <w:r w:rsidRPr="00DA17FE">
        <w:rPr>
          <w:color w:val="auto"/>
        </w:rPr>
        <w:t>The IMO [3] defines Time to Alarm as:</w:t>
      </w:r>
    </w:p>
    <w:p w14:paraId="4CE77DB7" w14:textId="180C1B64" w:rsidR="00DA17FE" w:rsidRPr="004430EE" w:rsidRDefault="00DA17FE" w:rsidP="004430EE">
      <w:pPr>
        <w:rPr>
          <w:b/>
          <w:i/>
          <w:sz w:val="22"/>
        </w:rPr>
      </w:pPr>
      <w:r w:rsidRPr="00DA17FE">
        <w:rPr>
          <w:b/>
          <w:i/>
          <w:sz w:val="22"/>
        </w:rPr>
        <w:t>The time elapsed between the occurrence of a failure in the system and its presentation on the bridge.</w:t>
      </w:r>
    </w:p>
    <w:p w14:paraId="39C00EFF" w14:textId="26E84BD7" w:rsidR="004430EE" w:rsidRDefault="004430EE" w:rsidP="004430EE">
      <w:pPr>
        <w:pStyle w:val="Heading4"/>
      </w:pPr>
      <w:r w:rsidRPr="004430EE">
        <w:t xml:space="preserve">User Receiver Based Integrity Monitoring </w:t>
      </w:r>
    </w:p>
    <w:p w14:paraId="7D8B70C4" w14:textId="32A06F73" w:rsidR="00DA17FE" w:rsidRDefault="004430EE" w:rsidP="00DA17FE">
      <w:pPr>
        <w:pStyle w:val="Bullet1"/>
        <w:numPr>
          <w:ilvl w:val="0"/>
          <w:numId w:val="0"/>
        </w:numPr>
      </w:pPr>
      <w:r w:rsidRPr="004430EE">
        <w:t>eLoran is unusual amongst radio-navigation services (particularly when compared to GNSS) in that the majority of Integrity risks depend upon the proper functioning of a User’s receiver at a particular time and at a particular location. Infrastructure-based Integrity monitoring cannot guard against:</w:t>
      </w:r>
    </w:p>
    <w:p w14:paraId="66A16B22" w14:textId="0EDC89DF" w:rsidR="004430EE" w:rsidRDefault="004430EE" w:rsidP="004430EE">
      <w:pPr>
        <w:pStyle w:val="Bullet1"/>
      </w:pPr>
      <w:r>
        <w:t>low signal-to-noise ratio (SNR) due to noise local at the receiver;</w:t>
      </w:r>
    </w:p>
    <w:p w14:paraId="5997E3B3" w14:textId="3DA1E0CA" w:rsidR="004430EE" w:rsidRDefault="004430EE" w:rsidP="004430EE">
      <w:pPr>
        <w:pStyle w:val="Bullet1"/>
      </w:pPr>
      <w:r>
        <w:t>Continuous Wave Interference (CWI) from local noise-sources;</w:t>
      </w:r>
    </w:p>
    <w:p w14:paraId="330721FF" w14:textId="063988BE" w:rsidR="004430EE" w:rsidRDefault="004430EE" w:rsidP="004430EE">
      <w:pPr>
        <w:pStyle w:val="Bullet1"/>
      </w:pPr>
      <w:r>
        <w:t>poor signal-tracking;</w:t>
      </w:r>
    </w:p>
    <w:p w14:paraId="33AFF08E" w14:textId="683F8EF4" w:rsidR="004430EE" w:rsidRDefault="004430EE" w:rsidP="004430EE">
      <w:pPr>
        <w:pStyle w:val="Bullet1"/>
      </w:pPr>
      <w:r>
        <w:t>incorrect 100kHz cycle-selection;</w:t>
      </w:r>
    </w:p>
    <w:p w14:paraId="7FAC44E9" w14:textId="0B880978" w:rsidR="004430EE" w:rsidRDefault="004430EE" w:rsidP="004430EE">
      <w:pPr>
        <w:pStyle w:val="Bullet1"/>
      </w:pPr>
      <w:r>
        <w:t>cross-rate interference (CRI).</w:t>
      </w:r>
    </w:p>
    <w:p w14:paraId="695C0DBD" w14:textId="367DC9E5" w:rsidR="004430EE" w:rsidRDefault="004430EE" w:rsidP="004430EE">
      <w:pPr>
        <w:pStyle w:val="Bullet1"/>
        <w:numPr>
          <w:ilvl w:val="0"/>
          <w:numId w:val="0"/>
        </w:numPr>
      </w:pPr>
      <w:r w:rsidRPr="004430EE">
        <w:t>These form the bulk of the Integrity Risk inherent in eLoran position-fixing. The majority of the error-mitigation and Integrity Monitoring work must be done by the user’s receiver.</w:t>
      </w:r>
    </w:p>
    <w:p w14:paraId="3FED935E" w14:textId="0B4A3617" w:rsidR="004430EE" w:rsidRDefault="004430EE" w:rsidP="004430EE">
      <w:pPr>
        <w:pStyle w:val="Heading4"/>
        <w:numPr>
          <w:ilvl w:val="4"/>
          <w:numId w:val="15"/>
        </w:numPr>
      </w:pPr>
      <w:r w:rsidRPr="004430EE">
        <w:t xml:space="preserve">Horizontal Alert Limit (HAL) and Horizontal Protection Level (HPL) </w:t>
      </w:r>
    </w:p>
    <w:p w14:paraId="10843E67" w14:textId="38E37715" w:rsidR="00DA17FE" w:rsidRDefault="004430EE" w:rsidP="00DA17FE">
      <w:pPr>
        <w:pStyle w:val="Bullet1"/>
        <w:numPr>
          <w:ilvl w:val="0"/>
          <w:numId w:val="0"/>
        </w:numPr>
      </w:pPr>
      <w:r w:rsidRPr="004430EE">
        <w:t xml:space="preserve">Associated with each set of requirements and voyage phase is a Horizontal Alert Limit (HAL) (see </w:t>
      </w:r>
      <w:r w:rsidRPr="002D2376">
        <w:t>Table 2</w:t>
      </w:r>
      <w:r w:rsidRPr="004430EE">
        <w:t xml:space="preserve">), which is the limit (in metres) of positioning error tolerable by the given application. Typically, HAL is 2.5 times the 95% Accuracy requirement. A mariner’s Navigation System Error (NSE) is not observable as he typically does not have access to a “ground-truth” system, so he has to estimate it; this is accomplished by computing a Horizontal Protection Level (HPL).  </w:t>
      </w:r>
    </w:p>
    <w:p w14:paraId="095C23D8" w14:textId="0F9B486E" w:rsidR="004430EE" w:rsidRDefault="004430EE" w:rsidP="00DA17FE">
      <w:pPr>
        <w:pStyle w:val="Bullet1"/>
        <w:numPr>
          <w:ilvl w:val="0"/>
          <w:numId w:val="0"/>
        </w:numPr>
      </w:pPr>
      <w:r w:rsidRPr="004430EE">
        <w:t>All errors contributing to the HPL are expressed as uncertainties. These uncertainties are summed in quadrature (in other words no correlation is assumed between pseudo-range measurement errors, ASF map quality, and differential-correction errors) and transformed into the positioning domain. The resulting two-dimensional position error may be represented as an error ellipse. The error ellipse is then linearly scaled to a positioning probability level corresponding to the desired integrity risk level; for example 10</w:t>
      </w:r>
      <w:r w:rsidRPr="004430EE">
        <w:rPr>
          <w:vertAlign w:val="superscript"/>
        </w:rPr>
        <w:t>-5</w:t>
      </w:r>
      <w:r w:rsidRPr="004430EE">
        <w:t xml:space="preserve"> integrity risk, which indicates that there is a 1 in 100,000 chance that a fix lies outside the error ellipse.</w:t>
      </w:r>
    </w:p>
    <w:p w14:paraId="43CE0327" w14:textId="0CCA0A38" w:rsidR="004430EE" w:rsidRDefault="004430EE" w:rsidP="00DA17FE">
      <w:pPr>
        <w:pStyle w:val="Bullet1"/>
        <w:numPr>
          <w:ilvl w:val="0"/>
          <w:numId w:val="0"/>
        </w:numPr>
      </w:pPr>
      <w:r w:rsidRPr="004430EE">
        <w:t xml:space="preserve">Aboard ship, should the computed HPL breach the HAL (HPL &gt; HAL), the system should be declared unavailable and an alarm generated within the receiver. A multi-system Receiver can then switch sources of PNT to one that is available, i.e. demonstrating an HPL that is lower than the HAL. In a multi-system receiver, containing both eLoran and GNSS based receivers, each should independently verify their own Integrity at the levels set down by the IMO for electronic position-fixing at sea </w:t>
      </w:r>
      <w:r w:rsidRPr="002D2376">
        <w:t>[1], [3]</w:t>
      </w:r>
      <w:r w:rsidRPr="004430EE">
        <w:t xml:space="preserve">. Receiver integrity algorithms are available for eLoran </w:t>
      </w:r>
      <w:r w:rsidRPr="002D2376">
        <w:t>[2]</w:t>
      </w:r>
      <w:r w:rsidRPr="004430EE">
        <w:t>.</w:t>
      </w:r>
    </w:p>
    <w:p w14:paraId="64DC0042" w14:textId="705F7E51" w:rsidR="004430EE" w:rsidRDefault="004430EE" w:rsidP="004430EE">
      <w:pPr>
        <w:pStyle w:val="Heading4"/>
        <w:numPr>
          <w:ilvl w:val="4"/>
          <w:numId w:val="15"/>
        </w:numPr>
      </w:pPr>
      <w:r w:rsidRPr="004430EE">
        <w:t xml:space="preserve">Receiver Autonomous Integrity Monitoring (RAIM) </w:t>
      </w:r>
    </w:p>
    <w:p w14:paraId="53366F30" w14:textId="6D553378" w:rsidR="004430EE" w:rsidRDefault="004430EE" w:rsidP="00DA17FE">
      <w:pPr>
        <w:pStyle w:val="Bullet1"/>
        <w:numPr>
          <w:ilvl w:val="0"/>
          <w:numId w:val="0"/>
        </w:numPr>
      </w:pPr>
      <w:r w:rsidRPr="004430EE">
        <w:t xml:space="preserve">The HPL is only an estimate of positioning accuracy and is used as a ‘best guess’ that the system is able to deliver the performance that is required. There will be cases where sufficient signals are received at high SNR, and with accurate ASF corrections but positioning accuracy is poor. These cases are usually due to one of the issues identified at the start of </w:t>
      </w:r>
      <w:r w:rsidRPr="002D2376">
        <w:t>Section 3.5.3.2</w:t>
      </w:r>
      <w:r w:rsidRPr="004430EE">
        <w:t xml:space="preserve"> and cannot be mitigated by Infrastructure-based Integrity monitoring.</w:t>
      </w:r>
    </w:p>
    <w:p w14:paraId="78A46126" w14:textId="259181D1" w:rsidR="004430EE" w:rsidRDefault="004430EE" w:rsidP="00DA17FE">
      <w:pPr>
        <w:pStyle w:val="Bullet1"/>
        <w:numPr>
          <w:ilvl w:val="0"/>
          <w:numId w:val="0"/>
        </w:numPr>
      </w:pPr>
      <w:r w:rsidRPr="004430EE">
        <w:t xml:space="preserve">RAIM assesses the individual pseudo-range measurements to determine if there are any obvious outliers which do not agree with the other measurements, so are likely to be in error. RTCM Receiver Performance specifications </w:t>
      </w:r>
      <w:r w:rsidRPr="002D2376">
        <w:t>[2]</w:t>
      </w:r>
      <w:r w:rsidRPr="004430EE">
        <w:t xml:space="preserve"> suggest a Solution-Separation RAIM algorithm be employed for this purpose. Each eLoran pseudo-range observation is individually removed from solution, and a fix is generated using the remaining sub-set of eLoran signals. This fix is compared to the ‘all-in-view’ solution made up using all available pseudo-ranges. If the distance between the ‘all-in-view fix’ and the ‘reduced-subset fix’ is particularly large then this is an indication that the excluded pseudo-range is probably in error.</w:t>
      </w:r>
    </w:p>
    <w:p w14:paraId="2D844876" w14:textId="7F272957" w:rsidR="00DA17FE" w:rsidRDefault="004430EE" w:rsidP="00DA17FE">
      <w:pPr>
        <w:pStyle w:val="Bullet1"/>
        <w:numPr>
          <w:ilvl w:val="0"/>
          <w:numId w:val="0"/>
        </w:numPr>
      </w:pPr>
      <w:r w:rsidRPr="004430EE">
        <w:t xml:space="preserve">The separation threshold that is needed for the error to be considered statistically significant will depend on the estimated accuracy of the all-in-view fix, and the contribution made by each individual pseudo-range measurement. Setting threshold values has to be done extremely carefully, and the process is described in the Receiver Specification </w:t>
      </w:r>
      <w:r w:rsidRPr="002D2376">
        <w:t>[2]</w:t>
      </w:r>
      <w:r w:rsidRPr="004430EE">
        <w:t>.</w:t>
      </w:r>
    </w:p>
    <w:p w14:paraId="46DCAFBB" w14:textId="2B773729" w:rsidR="00DA17FE" w:rsidRDefault="004430EE" w:rsidP="00DA17FE">
      <w:pPr>
        <w:pStyle w:val="Bullet1"/>
        <w:numPr>
          <w:ilvl w:val="0"/>
          <w:numId w:val="0"/>
        </w:numPr>
      </w:pPr>
      <w:r w:rsidRPr="004430EE">
        <w:t>Occasionally RAIM will falsely indicate a pseudo-range measurement to be in error when, in fact, it is perfectly accurate. These Integrity ‘false alarms’ can harm service Availability and so the RAIM algorithm needs to be designed accordingly. Assigning an Availability ‘budget’ allows for managing of these false-alarms and so maintaining a high Availability. The table below is an example of how a 99.8% Availability ‘budget’ can be allocated: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31"/>
        <w:gridCol w:w="2335"/>
      </w:tblGrid>
      <w:tr w:rsidR="00681D25" w:rsidRPr="001C5060" w14:paraId="6CCB92E5" w14:textId="77777777" w:rsidTr="00681D25">
        <w:trPr>
          <w:trHeight w:val="252"/>
          <w:jc w:val="center"/>
        </w:trPr>
        <w:tc>
          <w:tcPr>
            <w:tcW w:w="4331" w:type="dxa"/>
          </w:tcPr>
          <w:p w14:paraId="3B298196" w14:textId="5ED94746" w:rsidR="004430EE" w:rsidRPr="00D45F89" w:rsidRDefault="004430EE" w:rsidP="00472271">
            <w:pPr>
              <w:pStyle w:val="Tableheading"/>
              <w:keepNext/>
              <w:tabs>
                <w:tab w:val="right" w:pos="2189"/>
              </w:tabs>
            </w:pPr>
            <w:r>
              <w:t>Item</w:t>
            </w:r>
          </w:p>
        </w:tc>
        <w:tc>
          <w:tcPr>
            <w:tcW w:w="2335" w:type="dxa"/>
          </w:tcPr>
          <w:p w14:paraId="425D38AD" w14:textId="46F5066A" w:rsidR="004430EE" w:rsidRPr="00D45F89" w:rsidRDefault="004430EE" w:rsidP="00472271">
            <w:pPr>
              <w:pStyle w:val="Tableheading"/>
              <w:keepNext/>
            </w:pPr>
            <w:r>
              <w:t xml:space="preserve">Time Budget </w:t>
            </w:r>
          </w:p>
        </w:tc>
      </w:tr>
      <w:tr w:rsidR="00681D25" w:rsidRPr="001C5060" w14:paraId="42183183" w14:textId="77777777" w:rsidTr="00681D25">
        <w:trPr>
          <w:trHeight w:val="398"/>
          <w:jc w:val="center"/>
        </w:trPr>
        <w:tc>
          <w:tcPr>
            <w:tcW w:w="4331" w:type="dxa"/>
          </w:tcPr>
          <w:p w14:paraId="2BA29C90" w14:textId="209F98DB" w:rsidR="004430EE" w:rsidRPr="004430EE" w:rsidRDefault="004430EE" w:rsidP="00472271">
            <w:pPr>
              <w:pStyle w:val="Tabletext"/>
              <w:keepNext/>
            </w:pPr>
            <w:r w:rsidRPr="004430EE">
              <w:t>Service is available for use</w:t>
            </w:r>
          </w:p>
        </w:tc>
        <w:tc>
          <w:tcPr>
            <w:tcW w:w="2335" w:type="dxa"/>
          </w:tcPr>
          <w:p w14:paraId="185CFB0F" w14:textId="50D6586B" w:rsidR="004430EE" w:rsidRDefault="004430EE" w:rsidP="00472271">
            <w:pPr>
              <w:pStyle w:val="Tabletext"/>
              <w:keepNext/>
            </w:pPr>
            <w:r>
              <w:t>99.8%</w:t>
            </w:r>
          </w:p>
        </w:tc>
      </w:tr>
      <w:tr w:rsidR="00681D25" w:rsidRPr="001C5060" w14:paraId="3B7F3768" w14:textId="77777777" w:rsidTr="00681D25">
        <w:trPr>
          <w:trHeight w:val="398"/>
          <w:jc w:val="center"/>
        </w:trPr>
        <w:tc>
          <w:tcPr>
            <w:tcW w:w="4331" w:type="dxa"/>
          </w:tcPr>
          <w:p w14:paraId="353037DF" w14:textId="74649039" w:rsidR="004430EE" w:rsidRPr="004430EE" w:rsidRDefault="004430EE" w:rsidP="00472271">
            <w:pPr>
              <w:pStyle w:val="Tabletext"/>
              <w:keepNext/>
            </w:pPr>
            <w:r w:rsidRPr="004430EE">
              <w:t>Loss of position-fixing due to off-air transmitters</w:t>
            </w:r>
          </w:p>
        </w:tc>
        <w:tc>
          <w:tcPr>
            <w:tcW w:w="2335" w:type="dxa"/>
          </w:tcPr>
          <w:p w14:paraId="15DC3237" w14:textId="4A0AEB58" w:rsidR="004430EE" w:rsidRDefault="004430EE" w:rsidP="00472271">
            <w:pPr>
              <w:pStyle w:val="Tabletext"/>
              <w:keepNext/>
            </w:pPr>
            <w:r>
              <w:t>0.18%</w:t>
            </w:r>
          </w:p>
        </w:tc>
      </w:tr>
      <w:tr w:rsidR="00681D25" w:rsidRPr="001C5060" w14:paraId="36A94C77" w14:textId="77777777" w:rsidTr="00681D25">
        <w:trPr>
          <w:trHeight w:val="398"/>
          <w:jc w:val="center"/>
        </w:trPr>
        <w:tc>
          <w:tcPr>
            <w:tcW w:w="4331" w:type="dxa"/>
          </w:tcPr>
          <w:p w14:paraId="58CF4E21" w14:textId="4AB4401E" w:rsidR="004430EE" w:rsidRPr="001C5060" w:rsidRDefault="004430EE" w:rsidP="00472271">
            <w:pPr>
              <w:pStyle w:val="Tabletext"/>
              <w:keepNext/>
            </w:pPr>
            <w:r w:rsidRPr="004430EE">
              <w:t>Loss of positioning due to Integrity false-alarms</w:t>
            </w:r>
          </w:p>
        </w:tc>
        <w:tc>
          <w:tcPr>
            <w:tcW w:w="2335" w:type="dxa"/>
          </w:tcPr>
          <w:p w14:paraId="23F53A68" w14:textId="58AC7780" w:rsidR="004430EE" w:rsidRDefault="004430EE" w:rsidP="00472271">
            <w:pPr>
              <w:pStyle w:val="Tabletext"/>
              <w:keepNext/>
            </w:pPr>
            <w:r>
              <w:t xml:space="preserve">0.02% </w:t>
            </w:r>
          </w:p>
          <w:p w14:paraId="5831469A" w14:textId="77777777" w:rsidR="004430EE" w:rsidRPr="004430EE" w:rsidRDefault="004430EE" w:rsidP="00472271">
            <w:pPr>
              <w:keepNext/>
              <w:jc w:val="center"/>
            </w:pPr>
          </w:p>
        </w:tc>
      </w:tr>
      <w:tr w:rsidR="00681D25" w:rsidRPr="001C5060" w14:paraId="0FF9C89D" w14:textId="77777777" w:rsidTr="00681D25">
        <w:trPr>
          <w:trHeight w:val="261"/>
          <w:jc w:val="center"/>
        </w:trPr>
        <w:tc>
          <w:tcPr>
            <w:tcW w:w="4331" w:type="dxa"/>
          </w:tcPr>
          <w:p w14:paraId="17E74740" w14:textId="7C6F31CC" w:rsidR="004430EE" w:rsidRPr="004430EE" w:rsidRDefault="004430EE" w:rsidP="00472271">
            <w:pPr>
              <w:pStyle w:val="Tabletext"/>
              <w:keepNext/>
              <w:rPr>
                <w:b/>
              </w:rPr>
            </w:pPr>
            <w:r w:rsidRPr="004430EE">
              <w:rPr>
                <w:b/>
              </w:rPr>
              <w:t>Total</w:t>
            </w:r>
          </w:p>
        </w:tc>
        <w:tc>
          <w:tcPr>
            <w:tcW w:w="2335" w:type="dxa"/>
          </w:tcPr>
          <w:p w14:paraId="1EA529CF" w14:textId="726ADB33" w:rsidR="004430EE" w:rsidRPr="004430EE" w:rsidRDefault="004430EE" w:rsidP="00472271">
            <w:pPr>
              <w:pStyle w:val="Tabletext"/>
              <w:keepNext/>
              <w:rPr>
                <w:b/>
              </w:rPr>
            </w:pPr>
            <w:r w:rsidRPr="004430EE">
              <w:rPr>
                <w:b/>
              </w:rPr>
              <w:t>100%</w:t>
            </w:r>
          </w:p>
        </w:tc>
      </w:tr>
    </w:tbl>
    <w:p w14:paraId="1C69F781" w14:textId="77777777" w:rsidR="004430EE" w:rsidRDefault="004430EE" w:rsidP="00DA17FE">
      <w:pPr>
        <w:pStyle w:val="Bullet1"/>
        <w:numPr>
          <w:ilvl w:val="0"/>
          <w:numId w:val="0"/>
        </w:numPr>
      </w:pPr>
    </w:p>
    <w:p w14:paraId="2848BDF2" w14:textId="07130308" w:rsidR="004430EE" w:rsidRDefault="00681D25" w:rsidP="00DA17FE">
      <w:pPr>
        <w:pStyle w:val="Bullet1"/>
        <w:numPr>
          <w:ilvl w:val="0"/>
          <w:numId w:val="0"/>
        </w:numPr>
      </w:pPr>
      <w:r w:rsidRPr="00681D25">
        <w:t>A probability of false-alarm of 0.02% is recommended for use when 99.8% Availability is required from eLoran position-fixing. It is expected that the large majority of the 0.2% ‘un-available time’ will be due to transmitters off-air for routine maintenance. 0.18% corresponds to approximately a 90-minute Maintenance Outage once a month.</w:t>
      </w:r>
    </w:p>
    <w:p w14:paraId="0A6CD14E" w14:textId="2E8CBE74" w:rsidR="00681D25" w:rsidRDefault="00681D25" w:rsidP="00DA17FE">
      <w:pPr>
        <w:pStyle w:val="Bullet1"/>
        <w:numPr>
          <w:ilvl w:val="0"/>
          <w:numId w:val="0"/>
        </w:numPr>
      </w:pPr>
      <w:r w:rsidRPr="00681D25">
        <w:t>In some cases RAIM cannot identify an erroneous pseudo-range, and so an Integrity Risk is incurred. The output from the RAIM algorithm is to identify which pseudo-ranges can be trusted, and the amount of residual risk inherent in the position-fix. If this risk is greater than the allowed Integrity level for the Voyage Phase in question (for example IMO A.915 specifies 10</w:t>
      </w:r>
      <w:r w:rsidRPr="00681D25">
        <w:rPr>
          <w:vertAlign w:val="superscript"/>
        </w:rPr>
        <w:t>-5</w:t>
      </w:r>
      <w:r w:rsidRPr="00681D25">
        <w:t xml:space="preserve"> for Port Approach procedures) then Integrity cannot be guaranteed at the required levels and a ‘yellow-light’ warning indicating the inability to perform sufficient Integrity Monitoring should be issued. This is particularly important for Service Continuity, as loss of Integrity Monitoring is as bad as loss of position-fixing for a safety-of-life application that requires high Integrity.</w:t>
      </w:r>
    </w:p>
    <w:p w14:paraId="617512FE" w14:textId="3C9F98D8" w:rsidR="001F6479" w:rsidRDefault="00681D25" w:rsidP="00681D25">
      <w:pPr>
        <w:pStyle w:val="Bullet1"/>
        <w:numPr>
          <w:ilvl w:val="0"/>
          <w:numId w:val="0"/>
        </w:numPr>
      </w:pPr>
      <w:r w:rsidRPr="00681D25">
        <w:t>If the RAIM algorithm has determined that a particular pseudo-range should be excluded then the all-in-view position fix should be discarded and the corresponding reduced-subset fix used instead.</w:t>
      </w:r>
      <w:r>
        <w:t xml:space="preserve"> </w:t>
      </w:r>
      <w:r w:rsidRPr="00681D25">
        <w:t>This is the correct functioning of Fault Detection (FD) .The resulting fix is likely to be less accurate, and have reduced Integrity as it makes use of fewer eLoran pseudo-ranges.</w:t>
      </w:r>
      <w:r>
        <w:t xml:space="preserve"> </w:t>
      </w:r>
      <w:r w:rsidRPr="00681D25">
        <w:t>The RAIM and HPL calculations should be run for a second time on this reduced-subset fix.</w:t>
      </w:r>
      <w:r>
        <w:t xml:space="preserve"> </w:t>
      </w:r>
      <w:r w:rsidRPr="00681D25">
        <w:t>If a pseudo-range is excluded from solution, and the resulting reduced-subset fix still meets the required Accuracy and Integrity targets then Fault Detection with Exclusion (FDE) has been effected.</w:t>
      </w:r>
    </w:p>
    <w:p w14:paraId="5C482689" w14:textId="755D3E6F" w:rsidR="00681D25" w:rsidRDefault="00681D25" w:rsidP="00681D25">
      <w:pPr>
        <w:pStyle w:val="Heading4"/>
        <w:numPr>
          <w:ilvl w:val="4"/>
          <w:numId w:val="15"/>
        </w:numPr>
      </w:pPr>
      <w:r>
        <w:t xml:space="preserve">Multi-System Integrity </w:t>
      </w:r>
    </w:p>
    <w:p w14:paraId="51B76092" w14:textId="1DB2E646" w:rsidR="00681D25" w:rsidRDefault="00681D25" w:rsidP="00681D25">
      <w:pPr>
        <w:pStyle w:val="Bullet1"/>
        <w:numPr>
          <w:ilvl w:val="0"/>
          <w:numId w:val="0"/>
        </w:numPr>
      </w:pPr>
      <w:r w:rsidRPr="00681D25">
        <w:t>Tight multi-system integration at the level of pseudorange measurements has several benefits, including greater accuracy; improved availability of solution; the ability to calibrate cross-system biases; and increased coverage or better HDOP by combining signals from several systems. However, for safety-of-life navigation where a high level of integrity is required any multi-system integration or calibration process risks introducing faults from one system into another. Likewise the use of Kalman Filtering or any other type of multi-epoch smoothing propagates Integrity Risk from one epoch to the next.</w:t>
      </w:r>
    </w:p>
    <w:p w14:paraId="7338C652" w14:textId="164DC93D" w:rsidR="00681D25" w:rsidRDefault="00681D25" w:rsidP="00681D25">
      <w:pPr>
        <w:pStyle w:val="Bullet1"/>
        <w:numPr>
          <w:ilvl w:val="0"/>
          <w:numId w:val="0"/>
        </w:numPr>
      </w:pPr>
      <w:r w:rsidRPr="00681D25">
        <w:t xml:space="preserve">As a general rule, for high-Integrity applications cross-system calibration and cascaded filtering should be avoided whenever possible </w:t>
      </w:r>
      <w:r w:rsidRPr="002D2376">
        <w:t>[1</w:t>
      </w:r>
      <w:r w:rsidR="00F16548">
        <w:t>5</w:t>
      </w:r>
      <w:r w:rsidRPr="002D2376">
        <w:t>]</w:t>
      </w:r>
      <w:r w:rsidRPr="00681D25">
        <w:t xml:space="preserve"> to maintain the level of system-separation needed to ‘quarantine’ the Integrity Risk.</w:t>
      </w:r>
    </w:p>
    <w:p w14:paraId="0300B389" w14:textId="082A9890" w:rsidR="00681D25" w:rsidRDefault="00AB2A3D" w:rsidP="00AB2A3D">
      <w:pPr>
        <w:pStyle w:val="Heading4"/>
      </w:pPr>
      <w:r w:rsidRPr="00AB2A3D">
        <w:t xml:space="preserve">Integrity Verification Method </w:t>
      </w:r>
    </w:p>
    <w:p w14:paraId="4CF430DD" w14:textId="4C6C00FB" w:rsidR="00681D25" w:rsidRDefault="00AB2A3D" w:rsidP="00681D25">
      <w:pPr>
        <w:pStyle w:val="Bullet1"/>
        <w:numPr>
          <w:ilvl w:val="0"/>
          <w:numId w:val="0"/>
        </w:numPr>
      </w:pPr>
      <w:r w:rsidRPr="00AB2A3D">
        <w:t xml:space="preserve">Integrity verification performed by the service provider relies on the provision, by the service provider, of monitoring receivers positioned at suitable locations throughout the eLoran coverage area. These monitor receivers may be static (within the service area of a DLoran reference station), or dynamic (installed on ‘vessels of convenience’ employing crowd sourcing techniques).  </w:t>
      </w:r>
    </w:p>
    <w:p w14:paraId="1136E963" w14:textId="5FA2A6E5" w:rsidR="00AB2A3D" w:rsidRDefault="00AB2A3D" w:rsidP="00AB2A3D">
      <w:pPr>
        <w:pStyle w:val="Heading4"/>
        <w:numPr>
          <w:ilvl w:val="4"/>
          <w:numId w:val="15"/>
        </w:numPr>
      </w:pPr>
      <w:r w:rsidRPr="00AB2A3D">
        <w:t xml:space="preserve">Infrastructure Based Integrity Verification </w:t>
      </w:r>
    </w:p>
    <w:p w14:paraId="4F035A90" w14:textId="0CA32816" w:rsidR="00681D25" w:rsidRDefault="00AB2A3D" w:rsidP="00681D25">
      <w:pPr>
        <w:pStyle w:val="Bullet1"/>
        <w:numPr>
          <w:ilvl w:val="0"/>
          <w:numId w:val="0"/>
        </w:numPr>
      </w:pPr>
      <w:r w:rsidRPr="00AB2A3D">
        <w:t xml:space="preserve">There is currently no specified performance target for Infrastructure-based Integrity Monitoring in eLoran, save for the 10-seconds Time-To-Alarm (TTA). Times to alarm data are difficult to verify by the service provider since they do not have direct access to users’ receivers. However, DLoran reference stations and ‘early skywave’ monitors should be able to log historic data, and monitoring and control centres should be able to log historic alarms. It is recommended that at least 3 years’ worth of storage capacity be available for this (this capacity would also facilitate </w:t>
      </w:r>
      <w:r w:rsidRPr="00AB2A3D">
        <w:rPr>
          <w:b/>
          <w:i/>
        </w:rPr>
        <w:t>availability</w:t>
      </w:r>
      <w:r w:rsidRPr="00AB2A3D">
        <w:t xml:space="preserve"> and </w:t>
      </w:r>
      <w:r w:rsidRPr="00AB2A3D">
        <w:rPr>
          <w:b/>
          <w:i/>
        </w:rPr>
        <w:t>continuity</w:t>
      </w:r>
      <w:r w:rsidRPr="00AB2A3D">
        <w:t xml:space="preserve"> verification).</w:t>
      </w:r>
    </w:p>
    <w:p w14:paraId="6FAECFBC" w14:textId="41975287" w:rsidR="00AB2A3D" w:rsidRDefault="00AB2A3D" w:rsidP="00681D25">
      <w:pPr>
        <w:pStyle w:val="Bullet1"/>
        <w:numPr>
          <w:ilvl w:val="0"/>
          <w:numId w:val="0"/>
        </w:numPr>
      </w:pPr>
      <w:r w:rsidRPr="00AB2A3D">
        <w:t>The budget for Time-To-Alarm is typically made up of the following latencies and delays:</w:t>
      </w:r>
    </w:p>
    <w:p w14:paraId="6B2716D8" w14:textId="77777777" w:rsidR="00AB2A3D" w:rsidRDefault="00AB2A3D" w:rsidP="00AB2A3D">
      <w:pPr>
        <w:pStyle w:val="Bullet1"/>
      </w:pPr>
      <w:r>
        <w:t>detection of fault at monitoring receiver site e.g. 5 seconds;</w:t>
      </w:r>
    </w:p>
    <w:p w14:paraId="55A43D80" w14:textId="77777777" w:rsidR="00AB2A3D" w:rsidRDefault="00AB2A3D" w:rsidP="00AB2A3D">
      <w:pPr>
        <w:pStyle w:val="Bullet1"/>
      </w:pPr>
      <w:r>
        <w:t>transmission of alarm via Internet VPN to transmitter for broadcast over LDC (typically 200ms ‘ping’ delay plus negligible time for a small alarm message at 1Mbit/s);</w:t>
      </w:r>
    </w:p>
    <w:p w14:paraId="18D83A09" w14:textId="77777777" w:rsidR="00AB2A3D" w:rsidRDefault="00AB2A3D" w:rsidP="00AB2A3D">
      <w:pPr>
        <w:pStyle w:val="Bullet1"/>
      </w:pPr>
      <w:r>
        <w:t>message scheduling delay at eLoran transmitter, e.g. 2 seconds for Anthorn on 6731Y;</w:t>
      </w:r>
    </w:p>
    <w:p w14:paraId="3ABE1E08" w14:textId="7EB71E94" w:rsidR="00AB2A3D" w:rsidRDefault="00AB2A3D" w:rsidP="00AB2A3D">
      <w:pPr>
        <w:pStyle w:val="Bullet1"/>
      </w:pPr>
      <w:r>
        <w:t>LDC message transmission time at LDC bit rates, e.g. 2 more seconds;</w:t>
      </w:r>
    </w:p>
    <w:p w14:paraId="4EB633B5" w14:textId="10582F16" w:rsidR="00681D25" w:rsidRDefault="00AB2A3D" w:rsidP="00AD0320">
      <w:pPr>
        <w:pStyle w:val="Bullet1"/>
      </w:pPr>
      <w:r>
        <w:t>reception, decoding and presentation at the user’s receiver (typically &lt;&lt; 1 second).</w:t>
      </w:r>
    </w:p>
    <w:p w14:paraId="3EEA8816" w14:textId="1D57ACC3" w:rsidR="00681D25" w:rsidRDefault="00AD0320" w:rsidP="00681D25">
      <w:pPr>
        <w:pStyle w:val="Bullet1"/>
        <w:numPr>
          <w:ilvl w:val="0"/>
          <w:numId w:val="0"/>
        </w:numPr>
      </w:pPr>
      <w:r w:rsidRPr="00AD0320">
        <w:t>If the Integrity Alarms are broadcast from an eLoran transmitter with a GRI of longer than 8330 (83300 micro-seconds per Group Repetition Interval), then message scheduling and transmit times will be longer than 2.5 seconds (applying Eurofix LDC). Allowing for 5-second pseudo-range integration at a reference-station site, this exceeds the 10-seconds Time-to-Alarm typically required. Broadcasting Infrastructure Integrity Alerts on a higher bit-rate data-channel (shorter GRI or alternative LDC) should be considered.</w:t>
      </w:r>
    </w:p>
    <w:p w14:paraId="2213238E" w14:textId="6B37DBC4" w:rsidR="00AD0320" w:rsidRDefault="00AD0320" w:rsidP="00681D25">
      <w:pPr>
        <w:pStyle w:val="Bullet1"/>
        <w:numPr>
          <w:ilvl w:val="0"/>
          <w:numId w:val="0"/>
        </w:numPr>
      </w:pPr>
      <w:r w:rsidRPr="00AD0320">
        <w:t>The monitoring receivers used in the verification of the service should obey all Infrastructure-based Integrity Alerts, including early-skywave warnings and ‘do-not-use’ flags issued by the DLoran reference-station for eLoran pseudo-ranges that are determined to be out-of-tolerance. A monitoring receiver could detect a problem, issue an alert, transmit it via the LDC and receive it back. An indication of TTA can then be calculated and stored at the monitor site along with the alert. Alternatively a methodology can be established whereby the alarms detected at monitoring receivers are logged and regularly (perhaps on a 6-monthly cycle) reconciled with alarms logged at the control centre.</w:t>
      </w:r>
    </w:p>
    <w:p w14:paraId="58F6F17A" w14:textId="6C9B47BB" w:rsidR="00AD0320" w:rsidRDefault="00AD0320" w:rsidP="00681D25">
      <w:pPr>
        <w:pStyle w:val="Bullet1"/>
        <w:numPr>
          <w:ilvl w:val="0"/>
          <w:numId w:val="0"/>
        </w:numPr>
      </w:pPr>
      <w:r w:rsidRPr="00AD0320">
        <w:rPr>
          <w:b/>
          <w:i/>
        </w:rPr>
        <w:t>Infrastructure Integrity</w:t>
      </w:r>
      <w:r w:rsidRPr="00AD0320">
        <w:t xml:space="preserve"> verification for the DLoran service may be accomplished by post-processing and analysis of the logged data, identifying those alarms and conditions under which the TTA was </w:t>
      </w:r>
      <w:r w:rsidRPr="00AD0320">
        <w:rPr>
          <w:b/>
          <w:i/>
        </w:rPr>
        <w:t>not</w:t>
      </w:r>
      <w:r w:rsidRPr="00AD0320">
        <w:t xml:space="preserve"> met. This would provide the service provider with the opportunity to improve the system should it be found to be operating incorrectly or inefficiently.</w:t>
      </w:r>
    </w:p>
    <w:p w14:paraId="1C1BC274" w14:textId="17487BE6" w:rsidR="00AD0320" w:rsidRDefault="00AD0320" w:rsidP="00AD0320">
      <w:pPr>
        <w:pStyle w:val="Heading4"/>
        <w:numPr>
          <w:ilvl w:val="4"/>
          <w:numId w:val="15"/>
        </w:numPr>
      </w:pPr>
      <w:r w:rsidRPr="00AD0320">
        <w:t xml:space="preserve">Service Provider Verification of User Based Integrity </w:t>
      </w:r>
    </w:p>
    <w:p w14:paraId="6FFF96CF" w14:textId="57B0BC18" w:rsidR="00AD0320" w:rsidRDefault="00AD0320" w:rsidP="00681D25">
      <w:pPr>
        <w:pStyle w:val="Bullet1"/>
        <w:numPr>
          <w:ilvl w:val="0"/>
          <w:numId w:val="0"/>
        </w:numPr>
      </w:pPr>
      <w:r w:rsidRPr="00AD0320">
        <w:t>All infrastructure based monitoring receivers should operate at a level of fidelity such that a User’s experience of Integrity is within the specified Integrity Risk for the particular voyage phase they are undertaking.</w:t>
      </w:r>
    </w:p>
    <w:p w14:paraId="0AD17C03" w14:textId="3D3131BB" w:rsidR="00AD0320" w:rsidRDefault="00AD0320" w:rsidP="00681D25">
      <w:pPr>
        <w:pStyle w:val="Bullet1"/>
        <w:numPr>
          <w:ilvl w:val="0"/>
          <w:numId w:val="0"/>
        </w:numPr>
      </w:pPr>
      <w:r w:rsidRPr="00AD0320">
        <w:t xml:space="preserve">Service provider owned </w:t>
      </w:r>
      <w:r w:rsidRPr="00AD0320">
        <w:rPr>
          <w:b/>
          <w:i/>
        </w:rPr>
        <w:t>statically</w:t>
      </w:r>
      <w:r w:rsidRPr="00AD0320">
        <w:t xml:space="preserve"> located monitoring receivers are able to compute a value for the NSE (Navigation System Error) by comparing the eLoran computed position against the monitor’s precise position. Service provider owned </w:t>
      </w:r>
      <w:r w:rsidRPr="00AD0320">
        <w:rPr>
          <w:b/>
          <w:i/>
        </w:rPr>
        <w:t>dynamically</w:t>
      </w:r>
      <w:r w:rsidRPr="00AD0320">
        <w:t xml:space="preserve"> located monitoring receivers may also compute NSE because, unlike the general mariner user, the service provider could employ a differential-GNSS service as a measure of ground-truth with which to compute the NSE for verification purposes.</w:t>
      </w:r>
    </w:p>
    <w:p w14:paraId="3B4965A8" w14:textId="31F9F019" w:rsidR="00AD0320" w:rsidRDefault="00AD0320" w:rsidP="00681D25">
      <w:pPr>
        <w:pStyle w:val="Bullet1"/>
        <w:numPr>
          <w:ilvl w:val="0"/>
          <w:numId w:val="0"/>
        </w:numPr>
      </w:pPr>
      <w:r w:rsidRPr="00AD0320">
        <w:rPr>
          <w:b/>
          <w:i/>
        </w:rPr>
        <w:t>Integrity Failure</w:t>
      </w:r>
      <w:r w:rsidRPr="00AD0320">
        <w:t xml:space="preserve"> is defined as a position-fix with a position error (NSE) that is greater than the pre-determined Horizontal Alert Limit (HAL), which is presented to the user without an appropriate Integrity alert (‘green-light’ presented incorrectly, when it should be ‘red-light’); this is called </w:t>
      </w:r>
      <w:r w:rsidRPr="00AD0320">
        <w:rPr>
          <w:b/>
          <w:i/>
        </w:rPr>
        <w:t>Hazardously Misleading Information (HMI)</w:t>
      </w:r>
      <w:r w:rsidRPr="00AD0320">
        <w:t>. In this case we have:</w:t>
      </w:r>
    </w:p>
    <w:p w14:paraId="389F89A4" w14:textId="6B864FC1" w:rsidR="00AD0320" w:rsidRDefault="00AD0320" w:rsidP="00AD0320">
      <w:pPr>
        <w:pStyle w:val="Bullet1"/>
        <w:numPr>
          <w:ilvl w:val="0"/>
          <w:numId w:val="0"/>
        </w:numPr>
        <w:jc w:val="center"/>
      </w:pPr>
      <w:r w:rsidRPr="00AD0320">
        <w:t>NSE &gt; HAL when HPL &lt; HAL</w:t>
      </w:r>
      <w:r>
        <w:t>.</w:t>
      </w:r>
    </w:p>
    <w:p w14:paraId="63F4AC57" w14:textId="39181264" w:rsidR="00AD0320" w:rsidRDefault="00AD0320" w:rsidP="00681D25">
      <w:pPr>
        <w:pStyle w:val="Bullet1"/>
        <w:numPr>
          <w:ilvl w:val="0"/>
          <w:numId w:val="0"/>
        </w:numPr>
      </w:pPr>
      <w:r w:rsidRPr="00AD0320">
        <w:t>Recall that HPL is an estimate of the user’s NSE.</w:t>
      </w:r>
    </w:p>
    <w:p w14:paraId="738C4F3D" w14:textId="4A9C0892" w:rsidR="00AD0320" w:rsidRPr="00AD0320" w:rsidRDefault="00AD0320" w:rsidP="00AD0320">
      <w:pPr>
        <w:pStyle w:val="Bullet1"/>
        <w:numPr>
          <w:ilvl w:val="0"/>
          <w:numId w:val="0"/>
        </w:numPr>
      </w:pPr>
      <w:r w:rsidRPr="00AD0320">
        <w:t>The NSE of each ‘green-light’ eLoran position-fix (when HPL &lt; HAL) is found by comparing the eLoran fix to the known ground-truth. The number of these exceeding the HAL is then divided by the total number of epochs. This gives the level of Integrity at the monitor site:</w:t>
      </w:r>
    </w:p>
    <w:p w14:paraId="7A0C72C6" w14:textId="3EC18CD3" w:rsidR="00AD0320" w:rsidRPr="002E6F0C" w:rsidRDefault="00AD0320" w:rsidP="00AD0320">
      <w:pPr>
        <w:spacing w:before="120" w:after="120"/>
        <w:jc w:val="both"/>
        <w:rPr>
          <w:rFonts w:ascii="Arial" w:hAnsi="Arial" w:cs="Arial"/>
          <w:sz w:val="22"/>
        </w:rPr>
      </w:pPr>
      <m:oMathPara>
        <m:oMath>
          <m:r>
            <w:rPr>
              <w:rFonts w:ascii="Cambria Math" w:hAnsi="Cambria Math" w:cs="Arial"/>
              <w:sz w:val="22"/>
            </w:rPr>
            <m:t>I=</m:t>
          </m:r>
          <m:f>
            <m:fPr>
              <m:ctrlPr>
                <w:rPr>
                  <w:rFonts w:ascii="Cambria Math" w:hAnsi="Cambria Math" w:cs="Arial"/>
                  <w:i/>
                  <w:sz w:val="22"/>
                </w:rPr>
              </m:ctrlPr>
            </m:fPr>
            <m:num>
              <m:nary>
                <m:naryPr>
                  <m:chr m:val="∑"/>
                  <m:limLoc m:val="undOvr"/>
                  <m:subHide m:val="1"/>
                  <m:supHide m:val="1"/>
                  <m:ctrlPr>
                    <w:rPr>
                      <w:rFonts w:ascii="Cambria Math" w:hAnsi="Cambria Math" w:cs="Arial"/>
                      <w:i/>
                      <w:sz w:val="22"/>
                    </w:rPr>
                  </m:ctrlPr>
                </m:naryPr>
                <m:sub/>
                <m:sup/>
                <m:e>
                  <m:r>
                    <w:rPr>
                      <w:rFonts w:ascii="Cambria Math" w:hAnsi="Cambria Math" w:cs="Arial"/>
                      <w:sz w:val="22"/>
                    </w:rPr>
                    <m:t>Integrity_Failures</m:t>
                  </m:r>
                </m:e>
              </m:nary>
            </m:num>
            <m:den>
              <m:nary>
                <m:naryPr>
                  <m:chr m:val="∑"/>
                  <m:limLoc m:val="undOvr"/>
                  <m:subHide m:val="1"/>
                  <m:supHide m:val="1"/>
                  <m:ctrlPr>
                    <w:rPr>
                      <w:rFonts w:ascii="Cambria Math" w:hAnsi="Cambria Math" w:cs="Arial"/>
                      <w:i/>
                      <w:sz w:val="22"/>
                    </w:rPr>
                  </m:ctrlPr>
                </m:naryPr>
                <m:sub/>
                <m:sup/>
                <m:e>
                  <m:r>
                    <w:rPr>
                      <w:rFonts w:ascii="Cambria Math" w:hAnsi="Cambria Math" w:cs="Arial"/>
                      <w:sz w:val="22"/>
                    </w:rPr>
                    <m:t>Positioning_Epochs</m:t>
                  </m:r>
                </m:e>
              </m:nary>
            </m:den>
          </m:f>
        </m:oMath>
      </m:oMathPara>
    </w:p>
    <w:p w14:paraId="4E5EB7E5" w14:textId="3924403F" w:rsidR="00AD0320" w:rsidRDefault="00AD0320" w:rsidP="00681D25">
      <w:pPr>
        <w:pStyle w:val="Bullet1"/>
        <w:numPr>
          <w:ilvl w:val="0"/>
          <w:numId w:val="0"/>
        </w:numPr>
      </w:pPr>
      <w:r w:rsidRPr="00AD0320">
        <w:t>Note that the monitor must be installed at a location with high signal-to-noise ratio in order to prevent local noise effects from damaging the assessment of the System performance.</w:t>
      </w:r>
    </w:p>
    <w:p w14:paraId="1485DED0" w14:textId="7196BBD7" w:rsidR="00AD0320" w:rsidRDefault="00AD0320" w:rsidP="00AD0320">
      <w:pPr>
        <w:pStyle w:val="Heading4"/>
      </w:pPr>
      <w:r w:rsidRPr="00AD0320">
        <w:t>Integrity Hazards</w:t>
      </w:r>
      <w:r w:rsidRPr="00AB2A3D">
        <w:t xml:space="preserve"> </w:t>
      </w:r>
    </w:p>
    <w:p w14:paraId="22C1A9B4" w14:textId="659D5621" w:rsidR="00AD0320" w:rsidRDefault="00AD0320" w:rsidP="00681D25">
      <w:pPr>
        <w:pStyle w:val="Bullet1"/>
        <w:numPr>
          <w:ilvl w:val="0"/>
          <w:numId w:val="0"/>
        </w:numPr>
      </w:pPr>
      <w:r w:rsidRPr="00AD0320">
        <w:t>Hazards to integrity and service availability include the following:</w:t>
      </w:r>
    </w:p>
    <w:p w14:paraId="2BC117BA" w14:textId="1105EA98" w:rsidR="00AD0320" w:rsidRPr="00AD0320" w:rsidRDefault="00AD0320" w:rsidP="00681D25">
      <w:pPr>
        <w:pStyle w:val="Bullet1"/>
        <w:numPr>
          <w:ilvl w:val="0"/>
          <w:numId w:val="0"/>
        </w:numPr>
        <w:rPr>
          <w:b/>
          <w:u w:val="single"/>
        </w:rPr>
      </w:pPr>
      <w:r w:rsidRPr="00AD0320">
        <w:rPr>
          <w:b/>
          <w:u w:val="single"/>
        </w:rPr>
        <w:t>eLoran Transmitter Derived</w:t>
      </w:r>
    </w:p>
    <w:p w14:paraId="3EC7123A" w14:textId="77777777" w:rsidR="00AD0320" w:rsidRDefault="00AD0320" w:rsidP="00AD0320">
      <w:pPr>
        <w:pStyle w:val="Bullet1"/>
      </w:pPr>
      <w:r>
        <w:t>Time of Emission control out of tolerance</w:t>
      </w:r>
    </w:p>
    <w:p w14:paraId="76131954" w14:textId="77777777" w:rsidR="00AD0320" w:rsidRDefault="00AD0320" w:rsidP="00AD0320">
      <w:pPr>
        <w:pStyle w:val="Bullet1"/>
      </w:pPr>
      <w:r>
        <w:t>Transmission outage</w:t>
      </w:r>
    </w:p>
    <w:p w14:paraId="55BF98AF" w14:textId="77777777" w:rsidR="00AD0320" w:rsidRDefault="00AD0320" w:rsidP="00AD0320">
      <w:pPr>
        <w:pStyle w:val="Bullet1"/>
      </w:pPr>
      <w:r>
        <w:t>Signal amplitude out of tolerance</w:t>
      </w:r>
    </w:p>
    <w:p w14:paraId="32516471" w14:textId="77777777" w:rsidR="00AD0320" w:rsidRDefault="00AD0320" w:rsidP="00AD0320">
      <w:pPr>
        <w:pStyle w:val="Bullet1"/>
      </w:pPr>
      <w:r>
        <w:t>Envelope-to-Cycle Difference (ECD) out of tolerance</w:t>
      </w:r>
    </w:p>
    <w:p w14:paraId="278EA44A" w14:textId="77777777" w:rsidR="00AD0320" w:rsidRDefault="00AD0320" w:rsidP="00AD0320">
      <w:pPr>
        <w:pStyle w:val="Bullet1"/>
      </w:pPr>
      <w:r>
        <w:t>Loran Data Channel message failure</w:t>
      </w:r>
    </w:p>
    <w:p w14:paraId="7BA1E46E" w14:textId="26417570" w:rsidR="00AD0320" w:rsidRDefault="00AD0320" w:rsidP="00AD0320">
      <w:pPr>
        <w:pStyle w:val="Bullet1"/>
      </w:pPr>
      <w:r>
        <w:t>Loran Data Channel message corruption</w:t>
      </w:r>
    </w:p>
    <w:p w14:paraId="017E698E" w14:textId="34E9D134" w:rsidR="00AD0320" w:rsidRPr="00AD0320" w:rsidRDefault="00AD0320" w:rsidP="00AD0320">
      <w:pPr>
        <w:pStyle w:val="Bullet1"/>
        <w:numPr>
          <w:ilvl w:val="0"/>
          <w:numId w:val="0"/>
        </w:numPr>
        <w:rPr>
          <w:b/>
          <w:u w:val="single"/>
        </w:rPr>
      </w:pPr>
      <w:r w:rsidRPr="00AD0320">
        <w:rPr>
          <w:b/>
          <w:u w:val="single"/>
        </w:rPr>
        <w:t>Propagation Channel Derived</w:t>
      </w:r>
    </w:p>
    <w:p w14:paraId="100DD18F" w14:textId="77777777" w:rsidR="00AD0320" w:rsidRDefault="00AD0320" w:rsidP="00AD0320">
      <w:pPr>
        <w:pStyle w:val="Bullet1"/>
      </w:pPr>
      <w:r>
        <w:t>Excessive early skywave</w:t>
      </w:r>
    </w:p>
    <w:p w14:paraId="7D2D10BF" w14:textId="77777777" w:rsidR="00AD0320" w:rsidRDefault="00AD0320" w:rsidP="00AD0320">
      <w:pPr>
        <w:pStyle w:val="Bullet1"/>
      </w:pPr>
      <w:r>
        <w:t>Re-radiation based signal multipath</w:t>
      </w:r>
    </w:p>
    <w:p w14:paraId="4E57B8BC" w14:textId="4D4BEE7B" w:rsidR="00AD0320" w:rsidRDefault="00AD0320" w:rsidP="00AD0320">
      <w:pPr>
        <w:pStyle w:val="Bullet1"/>
      </w:pPr>
      <w:r>
        <w:t>Crossrate interference out of tolerance</w:t>
      </w:r>
    </w:p>
    <w:p w14:paraId="126B2538" w14:textId="7199FA73" w:rsidR="00AD0320" w:rsidRPr="00AD0320" w:rsidRDefault="00AD0320" w:rsidP="00AD0320">
      <w:pPr>
        <w:pStyle w:val="Bullet1"/>
        <w:numPr>
          <w:ilvl w:val="0"/>
          <w:numId w:val="0"/>
        </w:numPr>
        <w:rPr>
          <w:b/>
          <w:u w:val="single"/>
        </w:rPr>
      </w:pPr>
      <w:r w:rsidRPr="00AD0320">
        <w:rPr>
          <w:b/>
          <w:u w:val="single"/>
        </w:rPr>
        <w:t>DLoran Correction Sub-system Derived</w:t>
      </w:r>
    </w:p>
    <w:p w14:paraId="78677D11" w14:textId="77777777" w:rsidR="00AD0320" w:rsidRDefault="00AD0320" w:rsidP="00AD0320">
      <w:pPr>
        <w:pStyle w:val="Bullet1"/>
      </w:pPr>
      <w:r>
        <w:t>DLoran correction data out of range or tolerance</w:t>
      </w:r>
    </w:p>
    <w:p w14:paraId="3535DF6D" w14:textId="77777777" w:rsidR="00AD0320" w:rsidRDefault="00AD0320" w:rsidP="00AD0320">
      <w:pPr>
        <w:pStyle w:val="Bullet1"/>
      </w:pPr>
      <w:r>
        <w:t>Failure of VPN based data communication backbone</w:t>
      </w:r>
    </w:p>
    <w:p w14:paraId="6EC921F3" w14:textId="77777777" w:rsidR="00AD0320" w:rsidRDefault="00AD0320" w:rsidP="00AD0320">
      <w:pPr>
        <w:pStyle w:val="Bullet1"/>
      </w:pPr>
      <w:r>
        <w:t>DLoran reference station outage due to hardware failure or power failure</w:t>
      </w:r>
    </w:p>
    <w:p w14:paraId="352860D0" w14:textId="77777777" w:rsidR="00AD0320" w:rsidRDefault="00AD0320" w:rsidP="00AD0320">
      <w:pPr>
        <w:pStyle w:val="Bullet1"/>
      </w:pPr>
      <w:r>
        <w:t>DLoran software failure</w:t>
      </w:r>
    </w:p>
    <w:p w14:paraId="6916D703" w14:textId="77777777" w:rsidR="00AD0320" w:rsidRDefault="00AD0320" w:rsidP="00AD0320">
      <w:pPr>
        <w:pStyle w:val="Bullet1"/>
      </w:pPr>
      <w:r>
        <w:t>DLoran reference station improperly configured</w:t>
      </w:r>
    </w:p>
    <w:p w14:paraId="0FA3F31F" w14:textId="36354ABD" w:rsidR="00AD0320" w:rsidRDefault="00AD0320" w:rsidP="00AD0320">
      <w:pPr>
        <w:pStyle w:val="Bullet1"/>
      </w:pPr>
      <w:r>
        <w:t>Integrity failure at DLoran reference station</w:t>
      </w:r>
    </w:p>
    <w:p w14:paraId="32690A1E" w14:textId="6F3DC656" w:rsidR="00AD0320" w:rsidRPr="00AD0320" w:rsidRDefault="00AD0320" w:rsidP="00AD0320">
      <w:pPr>
        <w:pStyle w:val="Bullet1"/>
        <w:numPr>
          <w:ilvl w:val="0"/>
          <w:numId w:val="0"/>
        </w:numPr>
        <w:rPr>
          <w:b/>
          <w:u w:val="single"/>
        </w:rPr>
      </w:pPr>
      <w:r w:rsidRPr="00AD0320">
        <w:rPr>
          <w:b/>
          <w:u w:val="single"/>
        </w:rPr>
        <w:t>User Receiver Derived</w:t>
      </w:r>
    </w:p>
    <w:p w14:paraId="73F0D2C0" w14:textId="77777777" w:rsidR="00BF03F0" w:rsidRDefault="00BF03F0" w:rsidP="00BF03F0">
      <w:pPr>
        <w:pStyle w:val="Bullet1"/>
      </w:pPr>
      <w:r>
        <w:t>SNR out of tolerance</w:t>
      </w:r>
    </w:p>
    <w:p w14:paraId="78D1FA72" w14:textId="77777777" w:rsidR="00BF03F0" w:rsidRDefault="00BF03F0" w:rsidP="00BF03F0">
      <w:pPr>
        <w:pStyle w:val="Bullet1"/>
      </w:pPr>
      <w:r>
        <w:t>Pseudorange measurement variance out of tolerance (equivalent UDRE)</w:t>
      </w:r>
    </w:p>
    <w:p w14:paraId="2A81DA6E" w14:textId="77777777" w:rsidR="00BF03F0" w:rsidRDefault="00BF03F0" w:rsidP="00BF03F0">
      <w:pPr>
        <w:pStyle w:val="Bullet1"/>
      </w:pPr>
      <w:r>
        <w:t>Incorrect transmitter or reference station almanac</w:t>
      </w:r>
    </w:p>
    <w:p w14:paraId="52A580E8" w14:textId="77777777" w:rsidR="00BF03F0" w:rsidRDefault="00BF03F0" w:rsidP="00BF03F0">
      <w:pPr>
        <w:pStyle w:val="Bullet1"/>
      </w:pPr>
      <w:r>
        <w:t>Out of date, incorrect, or misconfigured ASF database</w:t>
      </w:r>
    </w:p>
    <w:p w14:paraId="324F210B" w14:textId="77777777" w:rsidR="00BF03F0" w:rsidRDefault="00BF03F0" w:rsidP="00BF03F0">
      <w:pPr>
        <w:pStyle w:val="Bullet1"/>
      </w:pPr>
      <w:r>
        <w:t>Continuous wave interference</w:t>
      </w:r>
    </w:p>
    <w:p w14:paraId="20B377E4" w14:textId="77777777" w:rsidR="00BF03F0" w:rsidRDefault="00BF03F0" w:rsidP="00BF03F0">
      <w:pPr>
        <w:pStyle w:val="Bullet1"/>
      </w:pPr>
      <w:r>
        <w:t>Poor signal tracking</w:t>
      </w:r>
    </w:p>
    <w:p w14:paraId="216B93E5" w14:textId="696E421C" w:rsidR="00AD0320" w:rsidRDefault="00BF03F0" w:rsidP="00BF03F0">
      <w:pPr>
        <w:pStyle w:val="Bullet1"/>
      </w:pPr>
      <w:r>
        <w:t>Receiver algorithm failure</w:t>
      </w:r>
    </w:p>
    <w:p w14:paraId="03473D30" w14:textId="32EC1403" w:rsidR="00BF03F0" w:rsidRPr="00AD0320" w:rsidRDefault="00BF03F0" w:rsidP="00BF03F0">
      <w:pPr>
        <w:pStyle w:val="Bullet1"/>
        <w:numPr>
          <w:ilvl w:val="0"/>
          <w:numId w:val="0"/>
        </w:numPr>
        <w:rPr>
          <w:b/>
          <w:u w:val="single"/>
        </w:rPr>
      </w:pPr>
      <w:r w:rsidRPr="00BF03F0">
        <w:rPr>
          <w:b/>
          <w:u w:val="single"/>
        </w:rPr>
        <w:t>Control Centre Derived</w:t>
      </w:r>
    </w:p>
    <w:p w14:paraId="174CE3E2" w14:textId="77777777" w:rsidR="00BF03F0" w:rsidRDefault="00BF03F0" w:rsidP="00BF03F0">
      <w:pPr>
        <w:pStyle w:val="Bullet1"/>
      </w:pPr>
      <w:r>
        <w:t>Control software failure</w:t>
      </w:r>
    </w:p>
    <w:p w14:paraId="46738BF5" w14:textId="0F4325FA" w:rsidR="00681D25" w:rsidRPr="001F6479" w:rsidRDefault="00BF03F0" w:rsidP="005719C0">
      <w:pPr>
        <w:pStyle w:val="Bullet1"/>
      </w:pPr>
      <w:r>
        <w:t>Loss of data communication</w:t>
      </w:r>
    </w:p>
    <w:p w14:paraId="237B2667" w14:textId="4703EB3E" w:rsidR="0069791D" w:rsidRDefault="00A05D68" w:rsidP="007D36A3">
      <w:pPr>
        <w:pStyle w:val="Heading3"/>
      </w:pPr>
      <w:bookmarkStart w:id="69" w:name="_Toc336181806"/>
      <w:r>
        <w:t>A</w:t>
      </w:r>
      <w:r w:rsidR="005719C0">
        <w:t>vailability</w:t>
      </w:r>
      <w:r w:rsidR="0069791D">
        <w:t xml:space="preserve"> Verification</w:t>
      </w:r>
      <w:bookmarkEnd w:id="69"/>
    </w:p>
    <w:p w14:paraId="467CF637" w14:textId="33837956" w:rsidR="005719C0" w:rsidRDefault="005719C0" w:rsidP="005719C0">
      <w:pPr>
        <w:pStyle w:val="BodyText"/>
      </w:pPr>
      <w:r w:rsidRPr="005719C0">
        <w:t xml:space="preserve">The availability standard adopted for an eLoran service is related to the techniques used in planning and implementing the service. </w:t>
      </w:r>
    </w:p>
    <w:p w14:paraId="364B75C5" w14:textId="19F72E0D" w:rsidR="005719C0" w:rsidRDefault="005719C0" w:rsidP="005719C0">
      <w:pPr>
        <w:pStyle w:val="BodyText"/>
      </w:pPr>
      <w:r>
        <w:t xml:space="preserve">Availability is defined in IMO Resolution A.915 (22) </w:t>
      </w:r>
      <w:r w:rsidRPr="002D2376">
        <w:t>[1</w:t>
      </w:r>
      <w:r w:rsidR="00F16548">
        <w:t>4</w:t>
      </w:r>
      <w:r w:rsidRPr="002D2376">
        <w:t>]</w:t>
      </w:r>
      <w:r>
        <w:t xml:space="preserve"> as:</w:t>
      </w:r>
    </w:p>
    <w:p w14:paraId="55D2B620" w14:textId="1FCAC8B3" w:rsidR="005719C0" w:rsidRPr="005719C0" w:rsidRDefault="005719C0" w:rsidP="005719C0">
      <w:pPr>
        <w:pStyle w:val="BodyText"/>
        <w:rPr>
          <w:b/>
          <w:i/>
        </w:rPr>
      </w:pPr>
      <w:r w:rsidRPr="005719C0">
        <w:rPr>
          <w:b/>
          <w:i/>
        </w:rPr>
        <w:t>The percentage of time that an aid, or system of aids, is performing a required function under stated conditions. The non-availability can be caused by scheduled and/or unscheduled interruptions.</w:t>
      </w:r>
    </w:p>
    <w:p w14:paraId="0FA1DA52" w14:textId="7E74710E" w:rsidR="005719C0" w:rsidRDefault="005719C0" w:rsidP="005719C0">
      <w:pPr>
        <w:pStyle w:val="BodyText"/>
      </w:pPr>
      <w:r w:rsidRPr="005719C0">
        <w:t>Availability should include the ability to provide positioning accuracy with “green-light” integrity; in order for the system to be available, the system’s integrity monitor (IM) must declare that the system is usable.</w:t>
      </w:r>
    </w:p>
    <w:p w14:paraId="6EC61050" w14:textId="4C5BF7D4" w:rsidR="005719C0" w:rsidRPr="002E6F0C" w:rsidRDefault="005719C0" w:rsidP="005719C0">
      <w:pPr>
        <w:pStyle w:val="BodyText"/>
        <w:jc w:val="both"/>
        <w:rPr>
          <w:rFonts w:ascii="Arial" w:hAnsi="Arial" w:cs="Arial"/>
        </w:rPr>
      </w:pPr>
      <w:r w:rsidRPr="005719C0">
        <w:t>Availability can be calculated for a given monitor receiver by counting up the number of position-fixing epochs for which a valid eLoran position-fix is generated, and the integrity monitor declares that fix is good (‘green-light’) and dividing this number by the total number of epochs:</w:t>
      </w:r>
      <w:r w:rsidRPr="005719C0">
        <w:rPr>
          <w:rFonts w:ascii="Arial" w:hAnsi="Arial" w:cs="Arial"/>
        </w:rPr>
        <w:t xml:space="preserve"> </w:t>
      </w:r>
    </w:p>
    <w:p w14:paraId="4F413675" w14:textId="3F6CCF5D" w:rsidR="005719C0" w:rsidRDefault="005719C0" w:rsidP="005719C0">
      <w:pPr>
        <w:pStyle w:val="BodyText"/>
      </w:pPr>
      <m:oMathPara>
        <m:oMath>
          <m:r>
            <w:rPr>
              <w:rFonts w:ascii="Cambria Math" w:hAnsi="Cambria Math" w:cs="Arial"/>
            </w:rPr>
            <m:t>A=</m:t>
          </m:r>
          <m:f>
            <m:fPr>
              <m:ctrlPr>
                <w:rPr>
                  <w:rFonts w:ascii="Cambria Math" w:hAnsi="Cambria Math" w:cs="Arial"/>
                  <w:i/>
                </w:rPr>
              </m:ctrlPr>
            </m:fPr>
            <m:num>
              <m:nary>
                <m:naryPr>
                  <m:chr m:val="∑"/>
                  <m:limLoc m:val="undOvr"/>
                  <m:subHide m:val="1"/>
                  <m:supHide m:val="1"/>
                  <m:ctrlPr>
                    <w:rPr>
                      <w:rFonts w:ascii="Cambria Math" w:hAnsi="Cambria Math" w:cs="Arial"/>
                      <w:i/>
                    </w:rPr>
                  </m:ctrlPr>
                </m:naryPr>
                <m:sub/>
                <m:sup/>
                <m:e>
                  <m:r>
                    <w:rPr>
                      <w:rFonts w:ascii="Cambria Math" w:hAnsi="Cambria Math" w:cs="Arial"/>
                    </w:rPr>
                    <m:t>Green_light_fixes</m:t>
                  </m:r>
                </m:e>
              </m:nary>
            </m:num>
            <m:den>
              <m:nary>
                <m:naryPr>
                  <m:chr m:val="∑"/>
                  <m:limLoc m:val="undOvr"/>
                  <m:subHide m:val="1"/>
                  <m:supHide m:val="1"/>
                  <m:ctrlPr>
                    <w:rPr>
                      <w:rFonts w:ascii="Cambria Math" w:hAnsi="Cambria Math" w:cs="Arial"/>
                      <w:i/>
                    </w:rPr>
                  </m:ctrlPr>
                </m:naryPr>
                <m:sub/>
                <m:sup/>
                <m:e>
                  <m:r>
                    <w:rPr>
                      <w:rFonts w:ascii="Cambria Math" w:hAnsi="Cambria Math" w:cs="Arial"/>
                    </w:rPr>
                    <m:t>Positioning_Epochs</m:t>
                  </m:r>
                </m:e>
              </m:nary>
            </m:den>
          </m:f>
        </m:oMath>
      </m:oMathPara>
    </w:p>
    <w:p w14:paraId="64D5EACD" w14:textId="261DDB63" w:rsidR="005719C0" w:rsidRPr="005719C0" w:rsidRDefault="005719C0" w:rsidP="005719C0">
      <w:pPr>
        <w:pStyle w:val="BodyText"/>
        <w:rPr>
          <w:color w:val="000000" w:themeColor="text1"/>
        </w:rPr>
      </w:pPr>
      <w:r w:rsidRPr="005719C0">
        <w:rPr>
          <w:b/>
          <w:color w:val="000000" w:themeColor="text1"/>
          <w:u w:val="single"/>
        </w:rPr>
        <w:t>Signal availability</w:t>
      </w:r>
      <w:r w:rsidRPr="005719C0">
        <w:rPr>
          <w:color w:val="000000" w:themeColor="text1"/>
        </w:rPr>
        <w:t xml:space="preserve"> is defined as the availability of a radio signal in a specified coverage area. Mathematically this can be written as: </w:t>
      </w:r>
    </w:p>
    <w:p w14:paraId="35291FEA" w14:textId="7D9DB461" w:rsidR="0069791D" w:rsidRPr="005719C0" w:rsidRDefault="005719C0" w:rsidP="005719C0">
      <w:pPr>
        <w:pStyle w:val="List1"/>
        <w:numPr>
          <w:ilvl w:val="0"/>
          <w:numId w:val="0"/>
        </w:numPr>
        <w:rPr>
          <w:rFonts w:eastAsiaTheme="minorHAnsi" w:cstheme="minorBidi"/>
          <w:color w:val="000000" w:themeColor="text1"/>
          <w:szCs w:val="22"/>
          <w:lang w:eastAsia="en-US"/>
        </w:rPr>
      </w:pPr>
      <m:oMathPara>
        <m:oMath>
          <m:r>
            <m:rPr>
              <m:sty m:val="p"/>
            </m:rPr>
            <w:rPr>
              <w:rFonts w:ascii="Cambria Math" w:eastAsiaTheme="minorHAnsi" w:hAnsi="Cambria Math" w:cstheme="minorBidi"/>
              <w:color w:val="000000" w:themeColor="text1"/>
              <w:szCs w:val="22"/>
              <w:lang w:eastAsia="en-US"/>
            </w:rPr>
            <m:t>A=</m:t>
          </m:r>
          <m:f>
            <m:fPr>
              <m:ctrlPr>
                <w:rPr>
                  <w:rFonts w:ascii="Cambria Math" w:eastAsiaTheme="minorHAnsi" w:hAnsi="Cambria Math" w:cstheme="minorBidi"/>
                  <w:color w:val="000000" w:themeColor="text1"/>
                  <w:szCs w:val="22"/>
                  <w:lang w:eastAsia="en-US"/>
                </w:rPr>
              </m:ctrlPr>
            </m:fPr>
            <m:num>
              <m:r>
                <m:rPr>
                  <m:sty m:val="p"/>
                </m:rPr>
                <w:rPr>
                  <w:rFonts w:ascii="Cambria Math" w:eastAsiaTheme="minorHAnsi" w:hAnsi="Cambria Math" w:cstheme="minorBidi"/>
                  <w:color w:val="000000" w:themeColor="text1"/>
                  <w:szCs w:val="22"/>
                  <w:lang w:eastAsia="en-US"/>
                </w:rPr>
                <m:t>MTBO</m:t>
              </m:r>
            </m:num>
            <m:den>
              <m:r>
                <m:rPr>
                  <m:sty m:val="p"/>
                </m:rPr>
                <w:rPr>
                  <w:rFonts w:ascii="Cambria Math" w:eastAsiaTheme="minorHAnsi" w:hAnsi="Cambria Math" w:cstheme="minorBidi"/>
                  <w:color w:val="000000" w:themeColor="text1"/>
                  <w:szCs w:val="22"/>
                  <w:lang w:eastAsia="en-US"/>
                </w:rPr>
                <m:t>MTBO+MTSR</m:t>
              </m:r>
            </m:den>
          </m:f>
        </m:oMath>
      </m:oMathPara>
    </w:p>
    <w:p w14:paraId="13D308F6" w14:textId="3A583314" w:rsidR="005719C0" w:rsidRPr="005719C0" w:rsidRDefault="005719C0" w:rsidP="005719C0">
      <w:pPr>
        <w:pStyle w:val="List1"/>
        <w:numPr>
          <w:ilvl w:val="0"/>
          <w:numId w:val="0"/>
        </w:numPr>
        <w:rPr>
          <w:rFonts w:eastAsiaTheme="minorHAnsi" w:cstheme="minorBidi"/>
          <w:color w:val="000000" w:themeColor="text1"/>
          <w:szCs w:val="22"/>
          <w:lang w:eastAsia="en-US"/>
        </w:rPr>
      </w:pPr>
      <w:r w:rsidRPr="005719C0">
        <w:rPr>
          <w:rFonts w:eastAsiaTheme="minorHAnsi" w:cstheme="minorBidi"/>
          <w:color w:val="000000" w:themeColor="text1"/>
          <w:szCs w:val="22"/>
          <w:lang w:eastAsia="en-US"/>
        </w:rPr>
        <w:t>where:</w:t>
      </w:r>
    </w:p>
    <w:p w14:paraId="6B6D17D9" w14:textId="65DB0D97" w:rsidR="005719C0" w:rsidRPr="00FA478A" w:rsidRDefault="005719C0" w:rsidP="005719C0">
      <w:pPr>
        <w:pStyle w:val="List1"/>
        <w:numPr>
          <w:ilvl w:val="0"/>
          <w:numId w:val="0"/>
        </w:numPr>
        <w:ind w:left="567" w:hanging="567"/>
        <w:rPr>
          <w:rFonts w:eastAsiaTheme="minorHAnsi" w:cstheme="minorBidi"/>
          <w:i/>
          <w:color w:val="000000" w:themeColor="text1"/>
          <w:szCs w:val="22"/>
          <w:lang w:eastAsia="en-US"/>
        </w:rPr>
      </w:pPr>
      <w:r w:rsidRPr="00FA478A">
        <w:rPr>
          <w:rFonts w:eastAsiaTheme="minorHAnsi" w:cstheme="minorBidi"/>
          <w:b/>
          <w:i/>
          <w:color w:val="000000" w:themeColor="text1"/>
          <w:szCs w:val="22"/>
          <w:lang w:eastAsia="en-US"/>
        </w:rPr>
        <w:t>MTBO</w:t>
      </w:r>
      <w:r w:rsidRPr="00FA478A">
        <w:rPr>
          <w:rFonts w:eastAsiaTheme="minorHAnsi" w:cstheme="minorBidi"/>
          <w:i/>
          <w:color w:val="000000" w:themeColor="text1"/>
          <w:szCs w:val="22"/>
          <w:lang w:eastAsia="en-US"/>
        </w:rPr>
        <w:t xml:space="preserve"> = Mean time between outages</w:t>
      </w:r>
      <w:r w:rsidR="00FA478A" w:rsidRPr="00FA478A">
        <w:rPr>
          <w:rFonts w:eastAsiaTheme="minorHAnsi" w:cstheme="minorBidi"/>
          <w:i/>
          <w:color w:val="000000" w:themeColor="text1"/>
          <w:szCs w:val="22"/>
          <w:lang w:eastAsia="en-US"/>
        </w:rPr>
        <w:t>;</w:t>
      </w:r>
    </w:p>
    <w:p w14:paraId="220B92C5" w14:textId="3805C1C5" w:rsidR="005719C0" w:rsidRPr="00FA478A" w:rsidRDefault="005719C0" w:rsidP="005719C0">
      <w:pPr>
        <w:pStyle w:val="List1"/>
        <w:numPr>
          <w:ilvl w:val="0"/>
          <w:numId w:val="0"/>
        </w:numPr>
        <w:ind w:left="567" w:hanging="567"/>
        <w:rPr>
          <w:rFonts w:eastAsiaTheme="minorHAnsi" w:cstheme="minorBidi"/>
          <w:i/>
          <w:color w:val="000000" w:themeColor="text1"/>
          <w:szCs w:val="22"/>
          <w:lang w:eastAsia="en-US"/>
        </w:rPr>
      </w:pPr>
      <w:r w:rsidRPr="00FA478A">
        <w:rPr>
          <w:rFonts w:eastAsiaTheme="minorHAnsi" w:cstheme="minorBidi"/>
          <w:b/>
          <w:i/>
          <w:color w:val="000000" w:themeColor="text1"/>
          <w:szCs w:val="22"/>
          <w:lang w:eastAsia="en-US"/>
        </w:rPr>
        <w:t>MTSR</w:t>
      </w:r>
      <w:r w:rsidRPr="00FA478A">
        <w:rPr>
          <w:rFonts w:eastAsiaTheme="minorHAnsi" w:cstheme="minorBidi"/>
          <w:i/>
          <w:color w:val="000000" w:themeColor="text1"/>
          <w:szCs w:val="22"/>
          <w:lang w:eastAsia="en-US"/>
        </w:rPr>
        <w:t xml:space="preserve"> = Mean time to service restoration.</w:t>
      </w:r>
    </w:p>
    <w:p w14:paraId="310A5B65" w14:textId="47795774" w:rsidR="005719C0" w:rsidRPr="005719C0" w:rsidRDefault="005719C0" w:rsidP="005719C0">
      <w:pPr>
        <w:pStyle w:val="List1"/>
        <w:numPr>
          <w:ilvl w:val="0"/>
          <w:numId w:val="0"/>
        </w:numPr>
        <w:rPr>
          <w:rFonts w:eastAsiaTheme="minorHAnsi" w:cstheme="minorBidi"/>
          <w:color w:val="000000" w:themeColor="text1"/>
          <w:szCs w:val="22"/>
          <w:lang w:eastAsia="en-US"/>
        </w:rPr>
      </w:pPr>
      <w:r w:rsidRPr="005719C0">
        <w:rPr>
          <w:rFonts w:eastAsiaTheme="minorHAnsi" w:cstheme="minorBidi"/>
          <w:color w:val="000000" w:themeColor="text1"/>
          <w:szCs w:val="22"/>
          <w:lang w:eastAsia="en-US"/>
        </w:rPr>
        <w:t>This accounts for scheduled and unscheduled service interruptions, i.e. preventative and corrective maintenance. MTBO and MTSR can be obtained based on a 30-day averaging period, which provides a monthly signal availability figure</w:t>
      </w:r>
      <w:r w:rsidRPr="005719C0">
        <w:t>.</w:t>
      </w:r>
    </w:p>
    <w:p w14:paraId="6FF1DE8F" w14:textId="3AE54840" w:rsidR="005719C0" w:rsidRPr="005719C0" w:rsidRDefault="005719C0" w:rsidP="00EF071A">
      <w:pPr>
        <w:pStyle w:val="List1"/>
        <w:numPr>
          <w:ilvl w:val="0"/>
          <w:numId w:val="0"/>
        </w:numPr>
        <w:rPr>
          <w:rFonts w:eastAsiaTheme="minorHAnsi" w:cstheme="minorBidi"/>
          <w:color w:val="000000" w:themeColor="text1"/>
          <w:szCs w:val="22"/>
          <w:lang w:eastAsia="en-US"/>
        </w:rPr>
      </w:pPr>
      <w:r w:rsidRPr="005719C0">
        <w:rPr>
          <w:rFonts w:eastAsiaTheme="minorHAnsi" w:cstheme="minorBidi"/>
          <w:color w:val="000000" w:themeColor="text1"/>
          <w:szCs w:val="22"/>
          <w:lang w:eastAsia="en-US"/>
        </w:rPr>
        <w:t>* Alternatively expressed as UP TIME/TOTAL TIME where TOTAL TIME = 30 days</w:t>
      </w:r>
    </w:p>
    <w:p w14:paraId="2CE75944" w14:textId="4FF7CFF7" w:rsidR="005719C0" w:rsidRDefault="005719C0" w:rsidP="005719C0">
      <w:pPr>
        <w:pStyle w:val="Heading3"/>
      </w:pPr>
      <w:bookmarkStart w:id="70" w:name="_Toc336181807"/>
      <w:r>
        <w:t>Continuity Verification</w:t>
      </w:r>
      <w:bookmarkEnd w:id="70"/>
    </w:p>
    <w:p w14:paraId="31803C07" w14:textId="78DDE50E" w:rsidR="002252BF" w:rsidRDefault="002252BF" w:rsidP="00EF071A">
      <w:pPr>
        <w:pStyle w:val="BodyText"/>
      </w:pPr>
      <w:r>
        <w:t xml:space="preserve">The IMO define </w:t>
      </w:r>
      <w:r>
        <w:rPr>
          <w:b/>
          <w:i/>
        </w:rPr>
        <w:t>continuity</w:t>
      </w:r>
      <w:r>
        <w:t xml:space="preserve"> as:</w:t>
      </w:r>
    </w:p>
    <w:p w14:paraId="59A8D674" w14:textId="12402684" w:rsidR="002252BF" w:rsidRPr="002252BF" w:rsidRDefault="002252BF" w:rsidP="002252BF">
      <w:pPr>
        <w:pStyle w:val="BodyText"/>
        <w:jc w:val="center"/>
        <w:rPr>
          <w:b/>
          <w:i/>
        </w:rPr>
      </w:pPr>
      <w:r>
        <w:rPr>
          <w:b/>
          <w:i/>
        </w:rPr>
        <w:t xml:space="preserve">The probability that, assuming a fault-free receiver, a user will be able to determine position with specified accuracy and is able to monitor the integrity of the determined position over the (short) time interval applicable for a particular operation within a limited part of the coverage area. </w:t>
      </w:r>
    </w:p>
    <w:p w14:paraId="59CD7A9A" w14:textId="381B5D9F" w:rsidR="00EF071A" w:rsidRDefault="00EF071A" w:rsidP="00EF071A">
      <w:pPr>
        <w:pStyle w:val="BodyText"/>
      </w:pPr>
      <w:r w:rsidRPr="00EF071A">
        <w:t xml:space="preserve">Inherent in a radionavigation service is the capability to provide accurate position fixing and integrity information without interruption during a specified period (normally short term). Interruptions to eLoran deny vital information to the users and, if frequent, erode user confidence in the ability of the service to provide that information. The frequency of unusable events, not the length of the usable periods, determines continuity performance. </w:t>
      </w:r>
    </w:p>
    <w:p w14:paraId="727B8948" w14:textId="6BE33516" w:rsidR="00EF071A" w:rsidRDefault="00EF071A" w:rsidP="00EF071A">
      <w:pPr>
        <w:pStyle w:val="BodyText"/>
      </w:pPr>
      <w:r w:rsidRPr="00EF071A">
        <w:t xml:space="preserve">In the event that a healthy and monitored eLoran transmitter or reference station begins to experience intermittent failures (i.e. failures separated in time by a period less than one continuity time interval (CTI)), the period of intermittent operation would be counted as a single failure event for continuity purposes.  </w:t>
      </w:r>
    </w:p>
    <w:p w14:paraId="067887E1" w14:textId="72E2CF2D" w:rsidR="00EF071A" w:rsidRDefault="00EF071A" w:rsidP="00EF071A">
      <w:pPr>
        <w:pStyle w:val="BodyText"/>
      </w:pPr>
      <w:r w:rsidRPr="00EF071A">
        <w:rPr>
          <w:b/>
        </w:rPr>
        <w:t>Continuity</w:t>
      </w:r>
      <w:r w:rsidRPr="00EF071A">
        <w:t xml:space="preserve"> is based upon the mean time between failures as measured over a two year period. It is the probability of a Continuity Failure within any given Continuity Time Interval (CTI), the IMO definition of the CTI is 15 minutes.</w:t>
      </w:r>
    </w:p>
    <w:p w14:paraId="7846D5EF" w14:textId="67DE5F01" w:rsidR="00EF071A" w:rsidRDefault="00EF071A" w:rsidP="00EF071A">
      <w:pPr>
        <w:pStyle w:val="BodyText"/>
      </w:pPr>
      <w:r w:rsidRPr="00EF071A">
        <w:rPr>
          <w:b/>
        </w:rPr>
        <w:t>Continuity Failures</w:t>
      </w:r>
      <w:r w:rsidRPr="00EF071A">
        <w:t xml:space="preserve">: All unscheduled unusable events described in the availability section are considered failures. Unlike availability, continuity does not count scheduled maintenance events as failures. Since public notices are provided for all scheduled maintenance events, users should be aware of such planned outages and plan the voyage accordingly. Nor </w:t>
      </w:r>
      <w:r w:rsidR="002252BF">
        <w:t xml:space="preserve">should </w:t>
      </w:r>
      <w:r w:rsidRPr="00EF071A">
        <w:t xml:space="preserve">Continuity count </w:t>
      </w:r>
      <w:r w:rsidR="002252BF">
        <w:t xml:space="preserve">momentary (single epoch) </w:t>
      </w:r>
      <w:r w:rsidRPr="00EF071A">
        <w:t xml:space="preserve">Integrity monitor ‘red-lights’ as continuity failures, as these </w:t>
      </w:r>
      <w:r w:rsidR="002252BF">
        <w:t xml:space="preserve">may </w:t>
      </w:r>
      <w:r w:rsidRPr="00EF071A">
        <w:t>still constitute correct functioning of the Service.</w:t>
      </w:r>
      <w:r w:rsidR="002252BF">
        <w:t xml:space="preserve"> Outages of more than a few epochs are more likely to constitute a system wide issue, for example, transmitter outage. Please see </w:t>
      </w:r>
      <w:r w:rsidR="00931EB4">
        <w:t xml:space="preserve">Appendix </w:t>
      </w:r>
      <w:r w:rsidR="002252BF">
        <w:t>Section A.</w:t>
      </w:r>
      <w:r w:rsidR="00931EB4">
        <w:t>5.1.</w:t>
      </w:r>
    </w:p>
    <w:p w14:paraId="69F9BB5A" w14:textId="12E7B566" w:rsidR="00EF071A" w:rsidRDefault="00EF071A" w:rsidP="00EF071A">
      <w:pPr>
        <w:pStyle w:val="BodyText"/>
      </w:pPr>
      <w:r w:rsidRPr="00EF071A">
        <w:t>Only a complete loss of positioning, or loss of Integrity Monitoring for any reason without adequate warning (scheduling) is classed as a Continuity Failure.</w:t>
      </w:r>
    </w:p>
    <w:p w14:paraId="1CB3D2A6" w14:textId="05EE270C" w:rsidR="00EF071A" w:rsidRPr="00EF071A" w:rsidRDefault="00EF071A" w:rsidP="00EF071A">
      <w:pPr>
        <w:pStyle w:val="BodyText"/>
        <w:rPr>
          <w:b/>
        </w:rPr>
      </w:pPr>
      <w:r w:rsidRPr="00EF071A">
        <w:rPr>
          <w:b/>
        </w:rPr>
        <w:t>Approximation of Continuity</w:t>
      </w:r>
    </w:p>
    <w:p w14:paraId="40369122" w14:textId="7E21E431" w:rsidR="00EF071A" w:rsidRPr="002E6F0C" w:rsidRDefault="00EF071A" w:rsidP="00EF071A">
      <w:pPr>
        <w:pStyle w:val="BodyText"/>
        <w:jc w:val="both"/>
        <w:rPr>
          <w:rFonts w:ascii="Arial" w:hAnsi="Arial" w:cs="Arial"/>
          <w:color w:val="000000"/>
        </w:rPr>
      </w:pPr>
      <w:r w:rsidRPr="00EF071A">
        <w:t xml:space="preserve">If we assume that, for any epoch, the probability of the system going offline is equal to some probability value </w:t>
      </w:r>
      <w:r w:rsidRPr="00F22169">
        <w:rPr>
          <w:i/>
        </w:rPr>
        <w:t>p</w:t>
      </w:r>
      <w:r w:rsidRPr="00F22169">
        <w:rPr>
          <w:i/>
          <w:vertAlign w:val="subscript"/>
        </w:rPr>
        <w:t>fail</w:t>
      </w:r>
      <w:r w:rsidRPr="00EF071A">
        <w:t>. On average failures will occur with a Mean Time Between Failures (MTBF) equal to:</w:t>
      </w:r>
      <w:r w:rsidRPr="00EF071A">
        <w:rPr>
          <w:rFonts w:ascii="Arial" w:hAnsi="Arial" w:cs="Arial"/>
          <w:color w:val="000000"/>
        </w:rPr>
        <w:t xml:space="preserve"> </w:t>
      </w:r>
    </w:p>
    <w:p w14:paraId="1C5CA285" w14:textId="086AA3FD" w:rsidR="00EF071A" w:rsidRDefault="00EF071A" w:rsidP="00EF071A">
      <w:pPr>
        <w:pStyle w:val="BodyText"/>
      </w:pPr>
      <m:oMathPara>
        <m:oMath>
          <m:r>
            <w:rPr>
              <w:rFonts w:ascii="Cambria Math" w:hAnsi="Cambria Math" w:cs="Arial"/>
              <w:color w:val="000000"/>
            </w:rPr>
            <m:t>MTBF=</m:t>
          </m:r>
          <m:f>
            <m:fPr>
              <m:ctrlPr>
                <w:rPr>
                  <w:rFonts w:ascii="Cambria Math" w:hAnsi="Cambria Math" w:cs="Arial"/>
                  <w:i/>
                  <w:color w:val="000000"/>
                </w:rPr>
              </m:ctrlPr>
            </m:fPr>
            <m:num>
              <m:r>
                <w:rPr>
                  <w:rFonts w:ascii="Cambria Math" w:hAnsi="Cambria Math" w:cs="Arial"/>
                  <w:color w:val="000000"/>
                </w:rPr>
                <m:t>∆t</m:t>
              </m:r>
            </m:num>
            <m:den>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fail</m:t>
                  </m:r>
                </m:sub>
              </m:sSub>
            </m:den>
          </m:f>
        </m:oMath>
      </m:oMathPara>
    </w:p>
    <w:p w14:paraId="791000B6" w14:textId="4ECE7F0F" w:rsidR="000E04F2" w:rsidRPr="002E6F0C" w:rsidRDefault="00EF071A" w:rsidP="000E04F2">
      <w:pPr>
        <w:pStyle w:val="BodyText"/>
        <w:jc w:val="both"/>
        <w:rPr>
          <w:rFonts w:ascii="Arial" w:hAnsi="Arial" w:cs="Arial"/>
          <w:color w:val="000000"/>
        </w:rPr>
      </w:pPr>
      <w:r>
        <w:rPr>
          <w:color w:val="000000" w:themeColor="text1"/>
        </w:rPr>
        <w:t>w</w:t>
      </w:r>
      <w:r w:rsidRPr="00EF071A">
        <w:rPr>
          <w:color w:val="000000" w:themeColor="text1"/>
        </w:rPr>
        <w:t>here Δ</w:t>
      </w:r>
      <w:r w:rsidRPr="00F22169">
        <w:rPr>
          <w:i/>
          <w:color w:val="000000" w:themeColor="text1"/>
        </w:rPr>
        <w:t>t</w:t>
      </w:r>
      <w:r w:rsidRPr="00EF071A">
        <w:rPr>
          <w:color w:val="000000" w:themeColor="text1"/>
        </w:rPr>
        <w:t xml:space="preserve"> is the time in seconds between positioning epochs. At a certain point (</w:t>
      </w:r>
      <w:r w:rsidRPr="00F22169">
        <w:rPr>
          <w:i/>
          <w:color w:val="000000" w:themeColor="text1"/>
        </w:rPr>
        <w:t>t</w:t>
      </w:r>
      <w:r w:rsidRPr="00EF071A">
        <w:rPr>
          <w:color w:val="000000" w:themeColor="text1"/>
          <w:vertAlign w:val="subscript"/>
        </w:rPr>
        <w:t>0</w:t>
      </w:r>
      <w:r w:rsidRPr="00EF071A">
        <w:rPr>
          <w:color w:val="000000" w:themeColor="text1"/>
        </w:rPr>
        <w:t>) the system is available for use and functioning correctly. The next epoch (</w:t>
      </w:r>
      <w:r w:rsidRPr="00F22169">
        <w:rPr>
          <w:i/>
          <w:color w:val="000000" w:themeColor="text1"/>
        </w:rPr>
        <w:t>t</w:t>
      </w:r>
      <w:r>
        <w:rPr>
          <w:color w:val="000000" w:themeColor="text1"/>
          <w:vertAlign w:val="subscript"/>
        </w:rPr>
        <w:t>1</w:t>
      </w:r>
      <w:r w:rsidRPr="00EF071A">
        <w:rPr>
          <w:color w:val="000000" w:themeColor="text1"/>
        </w:rPr>
        <w:t xml:space="preserve"> = </w:t>
      </w:r>
      <w:r w:rsidRPr="00F22169">
        <w:rPr>
          <w:i/>
          <w:color w:val="000000" w:themeColor="text1"/>
        </w:rPr>
        <w:t>t</w:t>
      </w:r>
      <w:r w:rsidRPr="00EF071A">
        <w:rPr>
          <w:color w:val="000000" w:themeColor="text1"/>
          <w:vertAlign w:val="subscript"/>
        </w:rPr>
        <w:t>0</w:t>
      </w:r>
      <w:r w:rsidRPr="00EF071A">
        <w:rPr>
          <w:color w:val="000000" w:themeColor="text1"/>
        </w:rPr>
        <w:t xml:space="preserve"> + Δ</w:t>
      </w:r>
      <w:r w:rsidRPr="00F22169">
        <w:rPr>
          <w:i/>
          <w:color w:val="000000" w:themeColor="text1"/>
        </w:rPr>
        <w:t>t</w:t>
      </w:r>
      <w:r w:rsidRPr="00EF071A">
        <w:rPr>
          <w:color w:val="000000" w:themeColor="text1"/>
        </w:rPr>
        <w:t>) the probability of it still being available for use is:</w:t>
      </w:r>
      <w:r w:rsidR="000E04F2" w:rsidRPr="000E04F2">
        <w:rPr>
          <w:rFonts w:ascii="Arial" w:hAnsi="Arial" w:cs="Arial"/>
          <w:color w:val="000000"/>
        </w:rPr>
        <w:t xml:space="preserve"> </w:t>
      </w:r>
    </w:p>
    <w:p w14:paraId="75F839CE" w14:textId="77777777" w:rsidR="000E04F2" w:rsidRPr="002E6F0C" w:rsidRDefault="00FD1EC9" w:rsidP="000E04F2">
      <w:pPr>
        <w:pStyle w:val="BodyText"/>
        <w:jc w:val="both"/>
        <w:rPr>
          <w:rFonts w:ascii="Arial" w:hAnsi="Arial" w:cs="Arial"/>
          <w:color w:val="000000"/>
        </w:rPr>
      </w:pPr>
      <m:oMathPara>
        <m:oMath>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1</m:t>
              </m:r>
            </m:sub>
          </m:sSub>
          <m:r>
            <w:rPr>
              <w:rFonts w:ascii="Cambria Math" w:hAnsi="Cambria Math" w:cs="Arial"/>
              <w:color w:val="000000"/>
            </w:rPr>
            <m:t>=</m:t>
          </m:r>
          <m:d>
            <m:dPr>
              <m:ctrlPr>
                <w:rPr>
                  <w:rFonts w:ascii="Cambria Math" w:hAnsi="Cambria Math" w:cs="Arial"/>
                  <w:i/>
                  <w:color w:val="000000"/>
                </w:rPr>
              </m:ctrlPr>
            </m:dPr>
            <m:e>
              <m:r>
                <w:rPr>
                  <w:rFonts w:ascii="Cambria Math" w:hAnsi="Cambria Math" w:cs="Arial"/>
                  <w:color w:val="000000"/>
                </w:rPr>
                <m:t>1-</m:t>
              </m:r>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fail</m:t>
                  </m:r>
                </m:sub>
              </m:sSub>
            </m:e>
          </m:d>
        </m:oMath>
      </m:oMathPara>
    </w:p>
    <w:p w14:paraId="3E22E6B4" w14:textId="2A8CED6D" w:rsidR="000E04F2" w:rsidRPr="002E6F0C" w:rsidRDefault="000E04F2" w:rsidP="000E04F2">
      <w:pPr>
        <w:pStyle w:val="BodyText"/>
        <w:jc w:val="both"/>
        <w:rPr>
          <w:rFonts w:ascii="Arial" w:hAnsi="Arial" w:cs="Arial"/>
          <w:color w:val="000000"/>
        </w:rPr>
      </w:pPr>
      <w:r w:rsidRPr="000E04F2">
        <w:rPr>
          <w:color w:val="000000" w:themeColor="text1"/>
        </w:rPr>
        <w:t>The probability of it being available at the next epoch (</w:t>
      </w:r>
      <w:r w:rsidRPr="00F22169">
        <w:rPr>
          <w:i/>
          <w:color w:val="000000" w:themeColor="text1"/>
        </w:rPr>
        <w:t>t</w:t>
      </w:r>
      <w:r>
        <w:rPr>
          <w:color w:val="000000" w:themeColor="text1"/>
          <w:vertAlign w:val="subscript"/>
        </w:rPr>
        <w:t>2</w:t>
      </w:r>
      <w:r w:rsidRPr="000E04F2">
        <w:rPr>
          <w:color w:val="000000" w:themeColor="text1"/>
        </w:rPr>
        <w:t>) is:</w:t>
      </w:r>
      <w:r w:rsidRPr="000E04F2">
        <w:rPr>
          <w:rFonts w:ascii="Arial" w:hAnsi="Arial" w:cs="Arial"/>
          <w:color w:val="000000"/>
        </w:rPr>
        <w:t xml:space="preserve"> </w:t>
      </w:r>
    </w:p>
    <w:p w14:paraId="5BF9535E" w14:textId="77777777" w:rsidR="000E04F2" w:rsidRPr="002E6F0C" w:rsidRDefault="00FD1EC9" w:rsidP="000E04F2">
      <w:pPr>
        <w:pStyle w:val="BodyText"/>
        <w:jc w:val="both"/>
        <w:rPr>
          <w:rFonts w:ascii="Arial" w:hAnsi="Arial" w:cs="Arial"/>
          <w:color w:val="000000"/>
        </w:rPr>
      </w:pPr>
      <m:oMathPara>
        <m:oMath>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2</m:t>
              </m:r>
            </m:sub>
          </m:sSub>
          <m:r>
            <w:rPr>
              <w:rFonts w:ascii="Cambria Math" w:hAnsi="Cambria Math" w:cs="Arial"/>
              <w:color w:val="000000"/>
            </w:rPr>
            <m:t>=</m:t>
          </m:r>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1</m:t>
              </m:r>
            </m:sub>
          </m:sSub>
          <m:d>
            <m:dPr>
              <m:ctrlPr>
                <w:rPr>
                  <w:rFonts w:ascii="Cambria Math" w:hAnsi="Cambria Math" w:cs="Arial"/>
                  <w:i/>
                  <w:color w:val="000000"/>
                </w:rPr>
              </m:ctrlPr>
            </m:dPr>
            <m:e>
              <m:r>
                <w:rPr>
                  <w:rFonts w:ascii="Cambria Math" w:hAnsi="Cambria Math" w:cs="Arial"/>
                  <w:color w:val="000000"/>
                </w:rPr>
                <m:t>1-</m:t>
              </m:r>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fail</m:t>
                  </m:r>
                </m:sub>
              </m:sSub>
            </m:e>
          </m:d>
        </m:oMath>
      </m:oMathPara>
    </w:p>
    <w:p w14:paraId="07001E09" w14:textId="77777777" w:rsidR="000E04F2" w:rsidRPr="002E6F0C" w:rsidRDefault="00FD1EC9" w:rsidP="000E04F2">
      <w:pPr>
        <w:pStyle w:val="BodyText"/>
        <w:jc w:val="both"/>
        <w:rPr>
          <w:rFonts w:ascii="Arial" w:hAnsi="Arial" w:cs="Arial"/>
          <w:color w:val="000000"/>
        </w:rPr>
      </w:pPr>
      <m:oMathPara>
        <m:oMath>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2</m:t>
              </m:r>
            </m:sub>
          </m:sSub>
          <m:r>
            <w:rPr>
              <w:rFonts w:ascii="Cambria Math" w:hAnsi="Cambria Math" w:cs="Arial"/>
              <w:color w:val="000000"/>
            </w:rPr>
            <m:t>=</m:t>
          </m:r>
          <m:sSup>
            <m:sSupPr>
              <m:ctrlPr>
                <w:rPr>
                  <w:rFonts w:ascii="Cambria Math" w:hAnsi="Cambria Math" w:cs="Arial"/>
                  <w:i/>
                  <w:color w:val="000000"/>
                </w:rPr>
              </m:ctrlPr>
            </m:sSupPr>
            <m:e>
              <m:d>
                <m:dPr>
                  <m:ctrlPr>
                    <w:rPr>
                      <w:rFonts w:ascii="Cambria Math" w:hAnsi="Cambria Math" w:cs="Arial"/>
                      <w:i/>
                      <w:color w:val="000000"/>
                    </w:rPr>
                  </m:ctrlPr>
                </m:dPr>
                <m:e>
                  <m:r>
                    <w:rPr>
                      <w:rFonts w:ascii="Cambria Math" w:hAnsi="Cambria Math" w:cs="Arial"/>
                      <w:color w:val="000000"/>
                    </w:rPr>
                    <m:t>1-</m:t>
                  </m:r>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fail</m:t>
                      </m:r>
                    </m:sub>
                  </m:sSub>
                </m:e>
              </m:d>
            </m:e>
            <m:sup>
              <m:r>
                <w:rPr>
                  <w:rFonts w:ascii="Cambria Math" w:hAnsi="Cambria Math" w:cs="Arial"/>
                  <w:color w:val="000000"/>
                </w:rPr>
                <m:t>2</m:t>
              </m:r>
            </m:sup>
          </m:sSup>
        </m:oMath>
      </m:oMathPara>
    </w:p>
    <w:p w14:paraId="420C6D73" w14:textId="44D592D1" w:rsidR="000E04F2" w:rsidRPr="002E6F0C" w:rsidRDefault="000E04F2" w:rsidP="000E04F2">
      <w:pPr>
        <w:pStyle w:val="BodyText"/>
        <w:jc w:val="both"/>
        <w:rPr>
          <w:rFonts w:ascii="Arial" w:hAnsi="Arial" w:cs="Arial"/>
          <w:color w:val="000000"/>
        </w:rPr>
      </w:pPr>
      <w:r w:rsidRPr="000E04F2">
        <w:rPr>
          <w:color w:val="000000" w:themeColor="text1"/>
        </w:rPr>
        <w:t xml:space="preserve">We can write the probability of </w:t>
      </w:r>
      <w:r w:rsidRPr="00F22169">
        <w:rPr>
          <w:i/>
          <w:color w:val="000000" w:themeColor="text1"/>
        </w:rPr>
        <w:t>N</w:t>
      </w:r>
      <w:r w:rsidRPr="000E04F2">
        <w:rPr>
          <w:color w:val="000000" w:themeColor="text1"/>
        </w:rPr>
        <w:t xml:space="preserve"> consecutive epochs without a failure as:</w:t>
      </w:r>
      <w:r w:rsidRPr="000E04F2">
        <w:rPr>
          <w:rFonts w:ascii="Arial" w:hAnsi="Arial" w:cs="Arial"/>
          <w:color w:val="000000"/>
        </w:rPr>
        <w:t xml:space="preserve"> </w:t>
      </w:r>
    </w:p>
    <w:p w14:paraId="2CF416ED" w14:textId="71CF9D61" w:rsidR="005719C0" w:rsidRPr="005719C0" w:rsidRDefault="00FD1EC9" w:rsidP="000E04F2">
      <w:pPr>
        <w:pStyle w:val="List1"/>
        <w:numPr>
          <w:ilvl w:val="0"/>
          <w:numId w:val="0"/>
        </w:numPr>
        <w:rPr>
          <w:rFonts w:eastAsiaTheme="minorHAnsi" w:cstheme="minorBidi"/>
          <w:color w:val="000000" w:themeColor="text1"/>
          <w:szCs w:val="22"/>
          <w:lang w:eastAsia="en-US"/>
        </w:rPr>
      </w:pPr>
      <m:oMathPara>
        <m:oMath>
          <m:sSub>
            <m:sSubPr>
              <m:ctrlPr>
                <w:rPr>
                  <w:rFonts w:ascii="Cambria Math" w:hAnsi="Cambria Math" w:cs="Arial"/>
                  <w:i/>
                  <w:color w:val="000000"/>
                  <w:szCs w:val="22"/>
                </w:rPr>
              </m:ctrlPr>
            </m:sSubPr>
            <m:e>
              <m:r>
                <w:rPr>
                  <w:rFonts w:ascii="Cambria Math" w:hAnsi="Cambria Math" w:cs="Arial"/>
                  <w:color w:val="000000"/>
                  <w:szCs w:val="22"/>
                </w:rPr>
                <m:t>p</m:t>
              </m:r>
            </m:e>
            <m:sub>
              <m:r>
                <w:rPr>
                  <w:rFonts w:ascii="Cambria Math" w:hAnsi="Cambria Math" w:cs="Arial"/>
                  <w:color w:val="000000"/>
                  <w:szCs w:val="22"/>
                </w:rPr>
                <m:t>N</m:t>
              </m:r>
            </m:sub>
          </m:sSub>
          <m:r>
            <w:rPr>
              <w:rFonts w:ascii="Cambria Math" w:hAnsi="Cambria Math" w:cs="Arial"/>
              <w:color w:val="000000"/>
              <w:szCs w:val="22"/>
            </w:rPr>
            <m:t>=</m:t>
          </m:r>
          <m:sSup>
            <m:sSupPr>
              <m:ctrlPr>
                <w:rPr>
                  <w:rFonts w:ascii="Cambria Math" w:hAnsi="Cambria Math" w:cs="Arial"/>
                  <w:i/>
                  <w:color w:val="000000"/>
                  <w:szCs w:val="22"/>
                </w:rPr>
              </m:ctrlPr>
            </m:sSupPr>
            <m:e>
              <m:d>
                <m:dPr>
                  <m:ctrlPr>
                    <w:rPr>
                      <w:rFonts w:ascii="Cambria Math" w:hAnsi="Cambria Math" w:cs="Arial"/>
                      <w:i/>
                      <w:color w:val="000000"/>
                      <w:szCs w:val="22"/>
                    </w:rPr>
                  </m:ctrlPr>
                </m:dPr>
                <m:e>
                  <m:r>
                    <w:rPr>
                      <w:rFonts w:ascii="Cambria Math" w:hAnsi="Cambria Math" w:cs="Arial"/>
                      <w:color w:val="000000"/>
                      <w:szCs w:val="22"/>
                    </w:rPr>
                    <m:t>1-</m:t>
                  </m:r>
                  <m:sSub>
                    <m:sSubPr>
                      <m:ctrlPr>
                        <w:rPr>
                          <w:rFonts w:ascii="Cambria Math" w:hAnsi="Cambria Math" w:cs="Arial"/>
                          <w:i/>
                          <w:color w:val="000000"/>
                          <w:szCs w:val="22"/>
                        </w:rPr>
                      </m:ctrlPr>
                    </m:sSubPr>
                    <m:e>
                      <m:r>
                        <w:rPr>
                          <w:rFonts w:ascii="Cambria Math" w:hAnsi="Cambria Math" w:cs="Arial"/>
                          <w:color w:val="000000"/>
                          <w:szCs w:val="22"/>
                        </w:rPr>
                        <m:t>p</m:t>
                      </m:r>
                    </m:e>
                    <m:sub>
                      <m:r>
                        <w:rPr>
                          <w:rFonts w:ascii="Cambria Math" w:hAnsi="Cambria Math" w:cs="Arial"/>
                          <w:color w:val="000000"/>
                          <w:szCs w:val="22"/>
                        </w:rPr>
                        <m:t>fail</m:t>
                      </m:r>
                    </m:sub>
                  </m:sSub>
                </m:e>
              </m:d>
            </m:e>
            <m:sup>
              <m:r>
                <w:rPr>
                  <w:rFonts w:ascii="Cambria Math" w:hAnsi="Cambria Math" w:cs="Arial"/>
                  <w:color w:val="000000"/>
                  <w:szCs w:val="22"/>
                </w:rPr>
                <m:t>N</m:t>
              </m:r>
            </m:sup>
          </m:sSup>
        </m:oMath>
      </m:oMathPara>
    </w:p>
    <w:p w14:paraId="33ED2B5D" w14:textId="77777777" w:rsidR="000E04F2" w:rsidRPr="002E6F0C" w:rsidRDefault="000E04F2" w:rsidP="000E04F2">
      <w:pPr>
        <w:pStyle w:val="BodyText"/>
        <w:jc w:val="both"/>
        <w:rPr>
          <w:rFonts w:ascii="Arial" w:hAnsi="Arial" w:cs="Arial"/>
          <w:color w:val="000000"/>
        </w:rPr>
      </w:pPr>
      <w:r w:rsidRPr="000E04F2">
        <w:rPr>
          <w:color w:val="000000" w:themeColor="text1"/>
        </w:rPr>
        <w:t>If we re-write (1</w:t>
      </w:r>
      <w:r>
        <w:rPr>
          <w:color w:val="000000" w:themeColor="text1"/>
        </w:rPr>
        <w:t xml:space="preserve"> –</w:t>
      </w:r>
      <w:r w:rsidRPr="000E04F2">
        <w:t xml:space="preserve"> </w:t>
      </w:r>
      <w:r w:rsidRPr="00F22169">
        <w:rPr>
          <w:i/>
        </w:rPr>
        <w:t>p</w:t>
      </w:r>
      <w:r w:rsidRPr="00F22169">
        <w:rPr>
          <w:i/>
          <w:vertAlign w:val="subscript"/>
        </w:rPr>
        <w:t>fail</w:t>
      </w:r>
      <w:r w:rsidRPr="000E04F2">
        <w:rPr>
          <w:color w:val="000000" w:themeColor="text1"/>
        </w:rPr>
        <w:t>) as an exponential:</w:t>
      </w:r>
      <w:r>
        <w:rPr>
          <w:color w:val="000000" w:themeColor="text1"/>
        </w:rPr>
        <w:t xml:space="preserve"> </w:t>
      </w:r>
    </w:p>
    <w:p w14:paraId="2B20490E" w14:textId="2CA55E49" w:rsidR="005719C0" w:rsidRPr="005719C0" w:rsidRDefault="00FD1EC9" w:rsidP="000E04F2">
      <w:pPr>
        <w:pStyle w:val="List1"/>
        <w:numPr>
          <w:ilvl w:val="0"/>
          <w:numId w:val="0"/>
        </w:numPr>
        <w:ind w:left="567" w:hanging="567"/>
        <w:rPr>
          <w:rFonts w:eastAsiaTheme="minorHAnsi" w:cstheme="minorBidi"/>
          <w:color w:val="000000" w:themeColor="text1"/>
          <w:szCs w:val="22"/>
          <w:lang w:eastAsia="en-US"/>
        </w:rPr>
      </w:pPr>
      <m:oMathPara>
        <m:oMath>
          <m:d>
            <m:dPr>
              <m:ctrlPr>
                <w:rPr>
                  <w:rFonts w:ascii="Cambria Math" w:hAnsi="Cambria Math" w:cs="Arial"/>
                  <w:i/>
                  <w:color w:val="000000"/>
                  <w:szCs w:val="22"/>
                </w:rPr>
              </m:ctrlPr>
            </m:dPr>
            <m:e>
              <m:r>
                <w:rPr>
                  <w:rFonts w:ascii="Cambria Math" w:hAnsi="Cambria Math" w:cs="Arial"/>
                  <w:color w:val="000000"/>
                  <w:szCs w:val="22"/>
                </w:rPr>
                <m:t>1-</m:t>
              </m:r>
              <m:sSub>
                <m:sSubPr>
                  <m:ctrlPr>
                    <w:rPr>
                      <w:rFonts w:ascii="Cambria Math" w:hAnsi="Cambria Math" w:cs="Arial"/>
                      <w:i/>
                      <w:color w:val="000000"/>
                      <w:szCs w:val="22"/>
                    </w:rPr>
                  </m:ctrlPr>
                </m:sSubPr>
                <m:e>
                  <m:r>
                    <w:rPr>
                      <w:rFonts w:ascii="Cambria Math" w:hAnsi="Cambria Math" w:cs="Arial"/>
                      <w:color w:val="000000"/>
                      <w:szCs w:val="22"/>
                    </w:rPr>
                    <m:t>p</m:t>
                  </m:r>
                </m:e>
                <m:sub>
                  <m:r>
                    <w:rPr>
                      <w:rFonts w:ascii="Cambria Math" w:hAnsi="Cambria Math" w:cs="Arial"/>
                      <w:color w:val="000000"/>
                      <w:szCs w:val="22"/>
                    </w:rPr>
                    <m:t>fail</m:t>
                  </m:r>
                </m:sub>
              </m:sSub>
            </m:e>
          </m:d>
          <m:r>
            <w:rPr>
              <w:rFonts w:ascii="Cambria Math" w:hAnsi="Cambria Math" w:cs="Arial"/>
              <w:color w:val="000000"/>
              <w:szCs w:val="22"/>
            </w:rPr>
            <m:t>=</m:t>
          </m:r>
          <m:sSup>
            <m:sSupPr>
              <m:ctrlPr>
                <w:rPr>
                  <w:rFonts w:ascii="Cambria Math" w:hAnsi="Cambria Math" w:cs="Arial"/>
                  <w:i/>
                  <w:color w:val="000000"/>
                  <w:szCs w:val="22"/>
                </w:rPr>
              </m:ctrlPr>
            </m:sSupPr>
            <m:e>
              <m:r>
                <w:rPr>
                  <w:rFonts w:ascii="Cambria Math" w:hAnsi="Cambria Math" w:cs="Arial"/>
                  <w:color w:val="000000"/>
                  <w:szCs w:val="22"/>
                </w:rPr>
                <m:t>e</m:t>
              </m:r>
            </m:e>
            <m:sup>
              <m:r>
                <w:rPr>
                  <w:rFonts w:ascii="Cambria Math" w:hAnsi="Cambria Math" w:cs="Arial"/>
                  <w:color w:val="000000"/>
                  <w:szCs w:val="22"/>
                </w:rPr>
                <m:t>ln</m:t>
              </m:r>
              <m:d>
                <m:dPr>
                  <m:ctrlPr>
                    <w:rPr>
                      <w:rFonts w:ascii="Cambria Math" w:hAnsi="Cambria Math" w:cs="Arial"/>
                      <w:i/>
                      <w:color w:val="000000"/>
                      <w:szCs w:val="22"/>
                    </w:rPr>
                  </m:ctrlPr>
                </m:dPr>
                <m:e>
                  <m:r>
                    <w:rPr>
                      <w:rFonts w:ascii="Cambria Math" w:hAnsi="Cambria Math" w:cs="Arial"/>
                      <w:color w:val="000000"/>
                      <w:szCs w:val="22"/>
                    </w:rPr>
                    <m:t>1-</m:t>
                  </m:r>
                  <m:sSub>
                    <m:sSubPr>
                      <m:ctrlPr>
                        <w:rPr>
                          <w:rFonts w:ascii="Cambria Math" w:hAnsi="Cambria Math" w:cs="Arial"/>
                          <w:i/>
                          <w:color w:val="000000"/>
                          <w:szCs w:val="22"/>
                        </w:rPr>
                      </m:ctrlPr>
                    </m:sSubPr>
                    <m:e>
                      <m:r>
                        <w:rPr>
                          <w:rFonts w:ascii="Cambria Math" w:hAnsi="Cambria Math" w:cs="Arial"/>
                          <w:color w:val="000000"/>
                          <w:szCs w:val="22"/>
                        </w:rPr>
                        <m:t>p</m:t>
                      </m:r>
                    </m:e>
                    <m:sub>
                      <m:r>
                        <w:rPr>
                          <w:rFonts w:ascii="Cambria Math" w:hAnsi="Cambria Math" w:cs="Arial"/>
                          <w:color w:val="000000"/>
                          <w:szCs w:val="22"/>
                        </w:rPr>
                        <m:t>fail</m:t>
                      </m:r>
                    </m:sub>
                  </m:sSub>
                </m:e>
              </m:d>
            </m:sup>
          </m:sSup>
        </m:oMath>
      </m:oMathPara>
    </w:p>
    <w:p w14:paraId="707372E7" w14:textId="20D13CBD" w:rsidR="000E04F2" w:rsidRPr="002E6F0C" w:rsidRDefault="000E04F2" w:rsidP="000E04F2">
      <w:pPr>
        <w:pStyle w:val="BodyText"/>
        <w:jc w:val="both"/>
        <w:rPr>
          <w:rFonts w:ascii="Arial" w:hAnsi="Arial" w:cs="Arial"/>
          <w:color w:val="000000"/>
        </w:rPr>
      </w:pPr>
      <w:r w:rsidRPr="000E04F2">
        <w:rPr>
          <w:color w:val="000000" w:themeColor="text1"/>
        </w:rPr>
        <w:t>Such that:</w:t>
      </w:r>
      <w:r w:rsidRPr="000E04F2">
        <w:rPr>
          <w:rFonts w:ascii="Arial" w:hAnsi="Arial" w:cs="Arial"/>
          <w:color w:val="000000"/>
        </w:rPr>
        <w:t xml:space="preserve"> </w:t>
      </w:r>
    </w:p>
    <w:p w14:paraId="109F7874" w14:textId="180C0966" w:rsidR="005719C0" w:rsidRDefault="00FD1EC9" w:rsidP="000E04F2">
      <w:pPr>
        <w:pStyle w:val="List1"/>
        <w:numPr>
          <w:ilvl w:val="0"/>
          <w:numId w:val="0"/>
        </w:numPr>
        <w:ind w:left="567" w:hanging="567"/>
        <w:rPr>
          <w:rFonts w:eastAsiaTheme="minorHAnsi" w:cstheme="minorBidi"/>
          <w:color w:val="000000" w:themeColor="text1"/>
          <w:szCs w:val="22"/>
          <w:lang w:eastAsia="en-US"/>
        </w:rPr>
      </w:pPr>
      <m:oMathPara>
        <m:oMath>
          <m:sSub>
            <m:sSubPr>
              <m:ctrlPr>
                <w:rPr>
                  <w:rFonts w:ascii="Cambria Math" w:hAnsi="Cambria Math" w:cs="Arial"/>
                  <w:i/>
                  <w:color w:val="000000"/>
                  <w:szCs w:val="22"/>
                </w:rPr>
              </m:ctrlPr>
            </m:sSubPr>
            <m:e>
              <m:r>
                <w:rPr>
                  <w:rFonts w:ascii="Cambria Math" w:hAnsi="Cambria Math" w:cs="Arial"/>
                  <w:color w:val="000000"/>
                  <w:szCs w:val="22"/>
                </w:rPr>
                <m:t>p</m:t>
              </m:r>
            </m:e>
            <m:sub>
              <m:r>
                <w:rPr>
                  <w:rFonts w:ascii="Cambria Math" w:hAnsi="Cambria Math" w:cs="Arial"/>
                  <w:color w:val="000000"/>
                  <w:szCs w:val="22"/>
                </w:rPr>
                <m:t>N</m:t>
              </m:r>
            </m:sub>
          </m:sSub>
          <m:r>
            <w:rPr>
              <w:rFonts w:ascii="Cambria Math" w:hAnsi="Cambria Math" w:cs="Arial"/>
              <w:color w:val="000000"/>
              <w:szCs w:val="22"/>
            </w:rPr>
            <m:t>=</m:t>
          </m:r>
          <m:sSup>
            <m:sSupPr>
              <m:ctrlPr>
                <w:rPr>
                  <w:rFonts w:ascii="Cambria Math" w:hAnsi="Cambria Math" w:cs="Arial"/>
                  <w:i/>
                  <w:color w:val="000000"/>
                  <w:szCs w:val="22"/>
                </w:rPr>
              </m:ctrlPr>
            </m:sSupPr>
            <m:e>
              <m:r>
                <w:rPr>
                  <w:rFonts w:ascii="Cambria Math" w:hAnsi="Cambria Math" w:cs="Arial"/>
                  <w:color w:val="000000"/>
                  <w:szCs w:val="22"/>
                </w:rPr>
                <m:t>e</m:t>
              </m:r>
            </m:e>
            <m:sup>
              <m:r>
                <w:rPr>
                  <w:rFonts w:ascii="Cambria Math" w:hAnsi="Cambria Math" w:cs="Arial"/>
                  <w:color w:val="000000"/>
                  <w:szCs w:val="22"/>
                </w:rPr>
                <m:t>N.ln</m:t>
              </m:r>
              <m:d>
                <m:dPr>
                  <m:ctrlPr>
                    <w:rPr>
                      <w:rFonts w:ascii="Cambria Math" w:hAnsi="Cambria Math" w:cs="Arial"/>
                      <w:i/>
                      <w:color w:val="000000"/>
                      <w:szCs w:val="22"/>
                    </w:rPr>
                  </m:ctrlPr>
                </m:dPr>
                <m:e>
                  <m:r>
                    <w:rPr>
                      <w:rFonts w:ascii="Cambria Math" w:hAnsi="Cambria Math" w:cs="Arial"/>
                      <w:color w:val="000000"/>
                      <w:szCs w:val="22"/>
                    </w:rPr>
                    <m:t>1-</m:t>
                  </m:r>
                  <m:sSub>
                    <m:sSubPr>
                      <m:ctrlPr>
                        <w:rPr>
                          <w:rFonts w:ascii="Cambria Math" w:hAnsi="Cambria Math" w:cs="Arial"/>
                          <w:i/>
                          <w:color w:val="000000"/>
                          <w:szCs w:val="22"/>
                        </w:rPr>
                      </m:ctrlPr>
                    </m:sSubPr>
                    <m:e>
                      <m:r>
                        <w:rPr>
                          <w:rFonts w:ascii="Cambria Math" w:hAnsi="Cambria Math" w:cs="Arial"/>
                          <w:color w:val="000000"/>
                          <w:szCs w:val="22"/>
                        </w:rPr>
                        <m:t>p</m:t>
                      </m:r>
                    </m:e>
                    <m:sub>
                      <m:r>
                        <w:rPr>
                          <w:rFonts w:ascii="Cambria Math" w:hAnsi="Cambria Math" w:cs="Arial"/>
                          <w:color w:val="000000"/>
                          <w:szCs w:val="22"/>
                        </w:rPr>
                        <m:t>fail</m:t>
                      </m:r>
                    </m:sub>
                  </m:sSub>
                </m:e>
              </m:d>
            </m:sup>
          </m:sSup>
        </m:oMath>
      </m:oMathPara>
    </w:p>
    <w:p w14:paraId="3A9604EE" w14:textId="6CE22A12" w:rsidR="000E04F2" w:rsidRPr="002E6F0C" w:rsidRDefault="000E04F2" w:rsidP="000E04F2">
      <w:pPr>
        <w:pStyle w:val="BodyText"/>
        <w:jc w:val="both"/>
        <w:rPr>
          <w:rFonts w:ascii="Arial" w:hAnsi="Arial" w:cs="Arial"/>
          <w:color w:val="000000"/>
        </w:rPr>
      </w:pPr>
      <w:r w:rsidRPr="000E04F2">
        <w:rPr>
          <w:color w:val="000000" w:themeColor="text1"/>
        </w:rPr>
        <w:t>By expanding the natural log we get:</w:t>
      </w:r>
      <w:r w:rsidRPr="000E04F2">
        <w:rPr>
          <w:rFonts w:ascii="Arial" w:hAnsi="Arial" w:cs="Arial"/>
          <w:color w:val="000000"/>
        </w:rPr>
        <w:t xml:space="preserve"> </w:t>
      </w:r>
    </w:p>
    <w:p w14:paraId="5F1EE5A4" w14:textId="2847FDD9" w:rsidR="000E04F2" w:rsidRDefault="000E04F2" w:rsidP="000E04F2">
      <w:pPr>
        <w:pStyle w:val="List1"/>
        <w:numPr>
          <w:ilvl w:val="0"/>
          <w:numId w:val="0"/>
        </w:numPr>
        <w:ind w:left="567" w:hanging="567"/>
        <w:rPr>
          <w:rFonts w:eastAsiaTheme="minorHAnsi" w:cstheme="minorBidi"/>
          <w:color w:val="000000" w:themeColor="text1"/>
          <w:szCs w:val="22"/>
          <w:lang w:eastAsia="en-US"/>
        </w:rPr>
      </w:pPr>
      <m:oMathPara>
        <m:oMath>
          <m:r>
            <w:rPr>
              <w:rFonts w:ascii="Cambria Math" w:hAnsi="Cambria Math" w:cs="Arial"/>
              <w:color w:val="000000"/>
              <w:szCs w:val="22"/>
            </w:rPr>
            <m:t>ln</m:t>
          </m:r>
          <m:d>
            <m:dPr>
              <m:ctrlPr>
                <w:rPr>
                  <w:rFonts w:ascii="Cambria Math" w:hAnsi="Cambria Math" w:cs="Arial"/>
                  <w:i/>
                  <w:color w:val="000000"/>
                  <w:szCs w:val="22"/>
                </w:rPr>
              </m:ctrlPr>
            </m:dPr>
            <m:e>
              <m:r>
                <w:rPr>
                  <w:rFonts w:ascii="Cambria Math" w:hAnsi="Cambria Math" w:cs="Arial"/>
                  <w:color w:val="000000"/>
                  <w:szCs w:val="22"/>
                </w:rPr>
                <m:t>1-x</m:t>
              </m:r>
            </m:e>
          </m:d>
          <m:r>
            <w:rPr>
              <w:rFonts w:ascii="Cambria Math" w:hAnsi="Cambria Math" w:cs="Arial"/>
              <w:color w:val="000000"/>
              <w:szCs w:val="22"/>
            </w:rPr>
            <m:t>=-x-</m:t>
          </m:r>
          <m:f>
            <m:fPr>
              <m:ctrlPr>
                <w:rPr>
                  <w:rFonts w:ascii="Cambria Math" w:hAnsi="Cambria Math" w:cs="Arial"/>
                  <w:i/>
                  <w:color w:val="000000"/>
                  <w:szCs w:val="22"/>
                </w:rPr>
              </m:ctrlPr>
            </m:fPr>
            <m:num>
              <m:sSup>
                <m:sSupPr>
                  <m:ctrlPr>
                    <w:rPr>
                      <w:rFonts w:ascii="Cambria Math" w:hAnsi="Cambria Math" w:cs="Arial"/>
                      <w:i/>
                      <w:color w:val="000000"/>
                      <w:szCs w:val="22"/>
                    </w:rPr>
                  </m:ctrlPr>
                </m:sSupPr>
                <m:e>
                  <m:r>
                    <w:rPr>
                      <w:rFonts w:ascii="Cambria Math" w:hAnsi="Cambria Math" w:cs="Arial"/>
                      <w:color w:val="000000"/>
                      <w:szCs w:val="22"/>
                    </w:rPr>
                    <m:t>x</m:t>
                  </m:r>
                </m:e>
                <m:sup>
                  <m:r>
                    <w:rPr>
                      <w:rFonts w:ascii="Cambria Math" w:hAnsi="Cambria Math" w:cs="Arial"/>
                      <w:color w:val="000000"/>
                      <w:szCs w:val="22"/>
                    </w:rPr>
                    <m:t>2</m:t>
                  </m:r>
                </m:sup>
              </m:sSup>
            </m:num>
            <m:den>
              <m:r>
                <w:rPr>
                  <w:rFonts w:ascii="Cambria Math" w:hAnsi="Cambria Math" w:cs="Arial"/>
                  <w:color w:val="000000"/>
                  <w:szCs w:val="22"/>
                </w:rPr>
                <m:t>2</m:t>
              </m:r>
            </m:den>
          </m:f>
          <m:r>
            <w:rPr>
              <w:rFonts w:ascii="Cambria Math" w:hAnsi="Cambria Math" w:cs="Arial"/>
              <w:color w:val="000000"/>
              <w:szCs w:val="22"/>
            </w:rPr>
            <m:t>-</m:t>
          </m:r>
          <m:f>
            <m:fPr>
              <m:ctrlPr>
                <w:rPr>
                  <w:rFonts w:ascii="Cambria Math" w:hAnsi="Cambria Math" w:cs="Arial"/>
                  <w:i/>
                  <w:color w:val="000000"/>
                  <w:szCs w:val="22"/>
                </w:rPr>
              </m:ctrlPr>
            </m:fPr>
            <m:num>
              <m:sSup>
                <m:sSupPr>
                  <m:ctrlPr>
                    <w:rPr>
                      <w:rFonts w:ascii="Cambria Math" w:hAnsi="Cambria Math" w:cs="Arial"/>
                      <w:i/>
                      <w:color w:val="000000"/>
                      <w:szCs w:val="22"/>
                    </w:rPr>
                  </m:ctrlPr>
                </m:sSupPr>
                <m:e>
                  <m:r>
                    <w:rPr>
                      <w:rFonts w:ascii="Cambria Math" w:hAnsi="Cambria Math" w:cs="Arial"/>
                      <w:color w:val="000000"/>
                      <w:szCs w:val="22"/>
                    </w:rPr>
                    <m:t>x</m:t>
                  </m:r>
                </m:e>
                <m:sup>
                  <m:r>
                    <w:rPr>
                      <w:rFonts w:ascii="Cambria Math" w:hAnsi="Cambria Math" w:cs="Arial"/>
                      <w:color w:val="000000"/>
                      <w:szCs w:val="22"/>
                    </w:rPr>
                    <m:t>3</m:t>
                  </m:r>
                </m:sup>
              </m:sSup>
            </m:num>
            <m:den>
              <m:r>
                <w:rPr>
                  <w:rFonts w:ascii="Cambria Math" w:hAnsi="Cambria Math" w:cs="Arial"/>
                  <w:color w:val="000000"/>
                  <w:szCs w:val="22"/>
                </w:rPr>
                <m:t>3</m:t>
              </m:r>
            </m:den>
          </m:f>
          <m:r>
            <w:rPr>
              <w:rFonts w:ascii="Cambria Math" w:hAnsi="Cambria Math" w:cs="Arial"/>
              <w:color w:val="000000"/>
              <w:szCs w:val="22"/>
            </w:rPr>
            <m:t>-</m:t>
          </m:r>
          <m:f>
            <m:fPr>
              <m:ctrlPr>
                <w:rPr>
                  <w:rFonts w:ascii="Cambria Math" w:hAnsi="Cambria Math" w:cs="Arial"/>
                  <w:i/>
                  <w:color w:val="000000"/>
                  <w:szCs w:val="22"/>
                </w:rPr>
              </m:ctrlPr>
            </m:fPr>
            <m:num>
              <m:sSup>
                <m:sSupPr>
                  <m:ctrlPr>
                    <w:rPr>
                      <w:rFonts w:ascii="Cambria Math" w:hAnsi="Cambria Math" w:cs="Arial"/>
                      <w:i/>
                      <w:color w:val="000000"/>
                      <w:szCs w:val="22"/>
                    </w:rPr>
                  </m:ctrlPr>
                </m:sSupPr>
                <m:e>
                  <m:r>
                    <w:rPr>
                      <w:rFonts w:ascii="Cambria Math" w:hAnsi="Cambria Math" w:cs="Arial"/>
                      <w:color w:val="000000"/>
                      <w:szCs w:val="22"/>
                    </w:rPr>
                    <m:t>x</m:t>
                  </m:r>
                </m:e>
                <m:sup>
                  <m:r>
                    <w:rPr>
                      <w:rFonts w:ascii="Cambria Math" w:hAnsi="Cambria Math" w:cs="Arial"/>
                      <w:color w:val="000000"/>
                      <w:szCs w:val="22"/>
                    </w:rPr>
                    <m:t>4</m:t>
                  </m:r>
                </m:sup>
              </m:sSup>
            </m:num>
            <m:den>
              <m:r>
                <w:rPr>
                  <w:rFonts w:ascii="Cambria Math" w:hAnsi="Cambria Math" w:cs="Arial"/>
                  <w:color w:val="000000"/>
                  <w:szCs w:val="22"/>
                </w:rPr>
                <m:t>4</m:t>
              </m:r>
            </m:den>
          </m:f>
        </m:oMath>
      </m:oMathPara>
    </w:p>
    <w:p w14:paraId="4295D928" w14:textId="0B253B1A" w:rsidR="00F22169" w:rsidRPr="002E6F0C" w:rsidRDefault="000E04F2" w:rsidP="00F22169">
      <w:pPr>
        <w:pStyle w:val="BodyText"/>
        <w:jc w:val="both"/>
        <w:rPr>
          <w:rFonts w:ascii="Arial" w:hAnsi="Arial" w:cs="Arial"/>
          <w:color w:val="000000"/>
        </w:rPr>
      </w:pPr>
      <w:r w:rsidRPr="000E04F2">
        <w:rPr>
          <w:color w:val="000000" w:themeColor="text1"/>
        </w:rPr>
        <w:t xml:space="preserve">Since </w:t>
      </w:r>
      <w:r w:rsidRPr="00F22169">
        <w:rPr>
          <w:i/>
        </w:rPr>
        <w:t>p</w:t>
      </w:r>
      <w:r w:rsidRPr="00F22169">
        <w:rPr>
          <w:i/>
          <w:vertAlign w:val="subscript"/>
        </w:rPr>
        <w:t>fail</w:t>
      </w:r>
      <w:r w:rsidRPr="000E04F2">
        <w:rPr>
          <w:color w:val="000000" w:themeColor="text1"/>
        </w:rPr>
        <w:t xml:space="preserve"> is (should be!) extremely small, we neglect terms in </w:t>
      </w:r>
      <w:r w:rsidRPr="00F22169">
        <w:rPr>
          <w:i/>
        </w:rPr>
        <w:t>p</w:t>
      </w:r>
      <w:r w:rsidRPr="00F22169">
        <w:rPr>
          <w:i/>
          <w:vertAlign w:val="subscript"/>
        </w:rPr>
        <w:t>fail</w:t>
      </w:r>
      <w:r w:rsidRPr="000E04F2">
        <w:rPr>
          <w:color w:val="000000" w:themeColor="text1"/>
          <w:vertAlign w:val="superscript"/>
        </w:rPr>
        <w:t>2</w:t>
      </w:r>
      <w:r>
        <w:rPr>
          <w:color w:val="000000" w:themeColor="text1"/>
        </w:rPr>
        <w:t xml:space="preserve"> </w:t>
      </w:r>
      <w:r w:rsidRPr="000E04F2">
        <w:rPr>
          <w:color w:val="000000" w:themeColor="text1"/>
        </w:rPr>
        <w:t>and greater, and substitute back in:</w:t>
      </w:r>
      <w:r w:rsidR="00F22169" w:rsidRPr="00F22169">
        <w:rPr>
          <w:rFonts w:ascii="Arial" w:hAnsi="Arial" w:cs="Arial"/>
          <w:color w:val="000000"/>
        </w:rPr>
        <w:t xml:space="preserve"> </w:t>
      </w:r>
    </w:p>
    <w:p w14:paraId="09B8A1D6" w14:textId="77777777" w:rsidR="00F22169" w:rsidRPr="002E6F0C" w:rsidRDefault="00FD1EC9" w:rsidP="00F22169">
      <w:pPr>
        <w:pStyle w:val="BodyText"/>
        <w:jc w:val="both"/>
        <w:rPr>
          <w:rFonts w:ascii="Arial" w:hAnsi="Arial" w:cs="Arial"/>
          <w:color w:val="000000"/>
        </w:rPr>
      </w:pPr>
      <m:oMathPara>
        <m:oMath>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N</m:t>
              </m:r>
            </m:sub>
          </m:sSub>
          <m:r>
            <w:rPr>
              <w:rFonts w:ascii="Cambria Math" w:hAnsi="Cambria Math" w:cs="Arial"/>
              <w:color w:val="000000"/>
            </w:rPr>
            <m:t>=</m:t>
          </m:r>
          <m:sSup>
            <m:sSupPr>
              <m:ctrlPr>
                <w:rPr>
                  <w:rFonts w:ascii="Cambria Math" w:hAnsi="Cambria Math" w:cs="Arial"/>
                  <w:i/>
                  <w:color w:val="000000"/>
                </w:rPr>
              </m:ctrlPr>
            </m:sSupPr>
            <m:e>
              <m:r>
                <w:rPr>
                  <w:rFonts w:ascii="Cambria Math" w:hAnsi="Cambria Math" w:cs="Arial"/>
                  <w:color w:val="000000"/>
                </w:rPr>
                <m:t>e</m:t>
              </m:r>
            </m:e>
            <m:sup>
              <m:r>
                <w:rPr>
                  <w:rFonts w:ascii="Cambria Math" w:hAnsi="Cambria Math" w:cs="Arial"/>
                  <w:color w:val="000000"/>
                </w:rPr>
                <m:t>-N.</m:t>
              </m:r>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fail</m:t>
                  </m:r>
                </m:sub>
              </m:sSub>
            </m:sup>
          </m:sSup>
        </m:oMath>
      </m:oMathPara>
    </w:p>
    <w:p w14:paraId="2F362962" w14:textId="2C293A4A" w:rsidR="00481BA1" w:rsidRPr="002E6F0C" w:rsidRDefault="00F22169" w:rsidP="00481BA1">
      <w:pPr>
        <w:pStyle w:val="BodyText"/>
        <w:jc w:val="both"/>
        <w:rPr>
          <w:rFonts w:ascii="Arial" w:hAnsi="Arial" w:cs="Arial"/>
          <w:color w:val="000000"/>
        </w:rPr>
      </w:pPr>
      <w:r w:rsidRPr="00F22169">
        <w:rPr>
          <w:color w:val="000000" w:themeColor="text1"/>
        </w:rPr>
        <w:t xml:space="preserve">Replacing </w:t>
      </w:r>
      <w:r w:rsidRPr="00F22169">
        <w:rPr>
          <w:i/>
          <w:color w:val="000000" w:themeColor="text1"/>
        </w:rPr>
        <w:t>N</w:t>
      </w:r>
      <w:r w:rsidRPr="00F22169">
        <w:rPr>
          <w:color w:val="000000" w:themeColor="text1"/>
        </w:rPr>
        <w:t xml:space="preserve"> discreet epochs with a continuous time-variable </w:t>
      </w:r>
      <w:r w:rsidRPr="00F22169">
        <w:rPr>
          <w:i/>
          <w:color w:val="000000" w:themeColor="text1"/>
        </w:rPr>
        <w:t>t</w:t>
      </w:r>
      <w:r w:rsidRPr="00F22169">
        <w:rPr>
          <w:color w:val="000000" w:themeColor="text1"/>
        </w:rPr>
        <w:t xml:space="preserve">, and substituting back in the values for MTBF, the probability that the system is still functioning after time </w:t>
      </w:r>
      <w:r w:rsidRPr="00F22169">
        <w:rPr>
          <w:i/>
          <w:color w:val="000000" w:themeColor="text1"/>
        </w:rPr>
        <w:t>t</w:t>
      </w:r>
      <w:r w:rsidRPr="00F22169">
        <w:rPr>
          <w:color w:val="000000" w:themeColor="text1"/>
        </w:rPr>
        <w:t xml:space="preserve"> is:</w:t>
      </w:r>
      <w:r w:rsidR="00481BA1" w:rsidRPr="00481BA1">
        <w:rPr>
          <w:rFonts w:ascii="Arial" w:hAnsi="Arial" w:cs="Arial"/>
          <w:color w:val="000000"/>
        </w:rPr>
        <w:t xml:space="preserve"> </w:t>
      </w:r>
    </w:p>
    <w:p w14:paraId="3F5CBD96" w14:textId="4BDE59D6" w:rsidR="000E04F2" w:rsidRDefault="00481BA1" w:rsidP="00481BA1">
      <w:pPr>
        <w:pStyle w:val="List1"/>
        <w:numPr>
          <w:ilvl w:val="0"/>
          <w:numId w:val="0"/>
        </w:numPr>
        <w:rPr>
          <w:rFonts w:eastAsiaTheme="minorHAnsi" w:cstheme="minorBidi"/>
          <w:color w:val="000000" w:themeColor="text1"/>
          <w:szCs w:val="22"/>
          <w:lang w:eastAsia="en-US"/>
        </w:rPr>
      </w:pPr>
      <m:oMathPara>
        <m:oMath>
          <m:r>
            <w:rPr>
              <w:rFonts w:ascii="Cambria Math" w:hAnsi="Cambria Math" w:cs="Arial"/>
              <w:szCs w:val="22"/>
            </w:rPr>
            <m:t>C=</m:t>
          </m:r>
          <m:sSup>
            <m:sSupPr>
              <m:ctrlPr>
                <w:rPr>
                  <w:rFonts w:ascii="Cambria Math" w:hAnsi="Cambria Math" w:cs="Arial"/>
                  <w:i/>
                  <w:szCs w:val="22"/>
                </w:rPr>
              </m:ctrlPr>
            </m:sSupPr>
            <m:e>
              <m:r>
                <w:rPr>
                  <w:rFonts w:ascii="Cambria Math" w:hAnsi="Cambria Math" w:cs="Arial"/>
                  <w:szCs w:val="22"/>
                </w:rPr>
                <m:t>e</m:t>
              </m:r>
            </m:e>
            <m:sup>
              <m:d>
                <m:dPr>
                  <m:ctrlPr>
                    <w:rPr>
                      <w:rFonts w:ascii="Cambria Math" w:hAnsi="Cambria Math" w:cs="Arial"/>
                      <w:i/>
                      <w:szCs w:val="22"/>
                    </w:rPr>
                  </m:ctrlPr>
                </m:dPr>
                <m:e>
                  <m:f>
                    <m:fPr>
                      <m:ctrlPr>
                        <w:rPr>
                          <w:rFonts w:ascii="Cambria Math" w:hAnsi="Cambria Math" w:cs="Arial"/>
                          <w:i/>
                          <w:szCs w:val="22"/>
                        </w:rPr>
                      </m:ctrlPr>
                    </m:fPr>
                    <m:num>
                      <m:r>
                        <w:rPr>
                          <w:rFonts w:ascii="Cambria Math" w:hAnsi="Cambria Math" w:cs="Arial"/>
                          <w:szCs w:val="22"/>
                        </w:rPr>
                        <m:t>-t</m:t>
                      </m:r>
                    </m:num>
                    <m:den>
                      <m:r>
                        <w:rPr>
                          <w:rFonts w:ascii="Cambria Math" w:hAnsi="Cambria Math" w:cs="Arial"/>
                          <w:szCs w:val="22"/>
                        </w:rPr>
                        <m:t>MTBF</m:t>
                      </m:r>
                    </m:den>
                  </m:f>
                </m:e>
              </m:d>
            </m:sup>
          </m:sSup>
        </m:oMath>
      </m:oMathPara>
    </w:p>
    <w:p w14:paraId="63E20ABE" w14:textId="0E781E97" w:rsidR="000E04F2" w:rsidRDefault="00481BA1" w:rsidP="00481BA1">
      <w:pPr>
        <w:pStyle w:val="List1"/>
        <w:numPr>
          <w:ilvl w:val="0"/>
          <w:numId w:val="0"/>
        </w:numPr>
        <w:rPr>
          <w:rFonts w:eastAsiaTheme="minorHAnsi" w:cstheme="minorBidi"/>
          <w:color w:val="000000" w:themeColor="text1"/>
          <w:szCs w:val="22"/>
          <w:lang w:eastAsia="en-US"/>
        </w:rPr>
      </w:pPr>
      <w:r w:rsidRPr="00481BA1">
        <w:rPr>
          <w:rFonts w:eastAsiaTheme="minorHAnsi" w:cstheme="minorBidi"/>
          <w:color w:val="000000" w:themeColor="text1"/>
          <w:szCs w:val="22"/>
          <w:lang w:eastAsia="en-US"/>
        </w:rPr>
        <w:t>This is the standard expression for reliability and excludes scheduled outages, assuming that planned outages will be notified and the operation will not take place.</w:t>
      </w:r>
    </w:p>
    <w:p w14:paraId="599CF823" w14:textId="6C10B5EA" w:rsidR="00481BA1" w:rsidRPr="002E6F0C" w:rsidRDefault="00481BA1" w:rsidP="00481BA1">
      <w:pPr>
        <w:pStyle w:val="BodyText"/>
        <w:tabs>
          <w:tab w:val="left" w:pos="1418"/>
        </w:tabs>
        <w:jc w:val="both"/>
        <w:rPr>
          <w:rFonts w:ascii="Arial" w:hAnsi="Arial" w:cs="Arial"/>
          <w:color w:val="000000"/>
        </w:rPr>
      </w:pPr>
      <w:r w:rsidRPr="00481BA1">
        <w:rPr>
          <w:color w:val="000000" w:themeColor="text1"/>
        </w:rPr>
        <w:t>The probability that the service will be available after a time CTI (the continuity) is then:</w:t>
      </w:r>
      <w:r w:rsidRPr="00481BA1">
        <w:rPr>
          <w:rFonts w:ascii="Arial" w:hAnsi="Arial" w:cs="Arial"/>
          <w:color w:val="000000"/>
        </w:rPr>
        <w:t xml:space="preserve"> </w:t>
      </w:r>
    </w:p>
    <w:p w14:paraId="4E69ED0C" w14:textId="75E84E4C" w:rsidR="00481BA1" w:rsidRDefault="00481BA1" w:rsidP="00481BA1">
      <w:pPr>
        <w:pStyle w:val="List1"/>
        <w:numPr>
          <w:ilvl w:val="0"/>
          <w:numId w:val="0"/>
        </w:numPr>
        <w:rPr>
          <w:rFonts w:eastAsiaTheme="minorHAnsi" w:cstheme="minorBidi"/>
          <w:color w:val="000000" w:themeColor="text1"/>
          <w:szCs w:val="22"/>
          <w:lang w:eastAsia="en-US"/>
        </w:rPr>
      </w:pPr>
      <m:oMathPara>
        <m:oMath>
          <m:r>
            <w:rPr>
              <w:rFonts w:ascii="Cambria Math" w:hAnsi="Cambria Math" w:cs="Arial"/>
              <w:color w:val="000000"/>
              <w:szCs w:val="22"/>
            </w:rPr>
            <m:t>C=</m:t>
          </m:r>
          <m:sSup>
            <m:sSupPr>
              <m:ctrlPr>
                <w:rPr>
                  <w:rFonts w:ascii="Cambria Math" w:hAnsi="Cambria Math" w:cs="Arial"/>
                  <w:i/>
                  <w:color w:val="000000"/>
                  <w:szCs w:val="22"/>
                </w:rPr>
              </m:ctrlPr>
            </m:sSupPr>
            <m:e>
              <m:r>
                <w:rPr>
                  <w:rFonts w:ascii="Cambria Math" w:hAnsi="Cambria Math" w:cs="Arial"/>
                  <w:color w:val="000000"/>
                  <w:szCs w:val="22"/>
                </w:rPr>
                <m:t>e</m:t>
              </m:r>
            </m:e>
            <m:sup>
              <m:d>
                <m:dPr>
                  <m:ctrlPr>
                    <w:rPr>
                      <w:rFonts w:ascii="Cambria Math" w:hAnsi="Cambria Math" w:cs="Arial"/>
                      <w:i/>
                      <w:color w:val="000000"/>
                      <w:szCs w:val="22"/>
                    </w:rPr>
                  </m:ctrlPr>
                </m:dPr>
                <m:e>
                  <m:f>
                    <m:fPr>
                      <m:ctrlPr>
                        <w:rPr>
                          <w:rFonts w:ascii="Cambria Math" w:hAnsi="Cambria Math" w:cs="Arial"/>
                          <w:i/>
                          <w:color w:val="000000"/>
                          <w:szCs w:val="22"/>
                        </w:rPr>
                      </m:ctrlPr>
                    </m:fPr>
                    <m:num>
                      <m:r>
                        <w:rPr>
                          <w:rFonts w:ascii="Cambria Math" w:hAnsi="Cambria Math" w:cs="Arial"/>
                          <w:color w:val="000000"/>
                          <w:szCs w:val="22"/>
                        </w:rPr>
                        <m:t>-CTI</m:t>
                      </m:r>
                    </m:num>
                    <m:den>
                      <m:r>
                        <w:rPr>
                          <w:rFonts w:ascii="Cambria Math" w:hAnsi="Cambria Math" w:cs="Arial"/>
                          <w:color w:val="000000"/>
                          <w:szCs w:val="22"/>
                        </w:rPr>
                        <m:t>MTBF</m:t>
                      </m:r>
                    </m:den>
                  </m:f>
                </m:e>
              </m:d>
            </m:sup>
          </m:sSup>
        </m:oMath>
      </m:oMathPara>
    </w:p>
    <w:p w14:paraId="298E9F87" w14:textId="69445068" w:rsidR="00FA478A" w:rsidRPr="002E6F0C" w:rsidRDefault="00481BA1" w:rsidP="00FA478A">
      <w:pPr>
        <w:pStyle w:val="BodyText"/>
        <w:tabs>
          <w:tab w:val="left" w:pos="1418"/>
        </w:tabs>
        <w:rPr>
          <w:rFonts w:ascii="Arial" w:hAnsi="Arial" w:cs="Arial"/>
          <w:color w:val="000000"/>
        </w:rPr>
      </w:pPr>
      <w:r w:rsidRPr="00481BA1">
        <w:rPr>
          <w:color w:val="000000" w:themeColor="text1"/>
        </w:rPr>
        <w:t>If MTBF is very much greater than CTI, this can be approximated to:</w:t>
      </w:r>
      <w:r w:rsidR="00FA478A" w:rsidRPr="00FA478A">
        <w:rPr>
          <w:rFonts w:ascii="Arial" w:hAnsi="Arial" w:cs="Arial"/>
          <w:color w:val="000000"/>
        </w:rPr>
        <w:t xml:space="preserve"> </w:t>
      </w:r>
    </w:p>
    <w:p w14:paraId="71C30066" w14:textId="5F8AC214" w:rsidR="000E04F2" w:rsidRDefault="00FA478A" w:rsidP="00FA478A">
      <w:pPr>
        <w:pStyle w:val="List1"/>
        <w:numPr>
          <w:ilvl w:val="0"/>
          <w:numId w:val="0"/>
        </w:numPr>
        <w:ind w:left="567" w:hanging="567"/>
        <w:rPr>
          <w:rFonts w:eastAsiaTheme="minorHAnsi" w:cstheme="minorBidi"/>
          <w:color w:val="000000" w:themeColor="text1"/>
          <w:szCs w:val="22"/>
          <w:lang w:eastAsia="en-US"/>
        </w:rPr>
      </w:pPr>
      <m:oMathPara>
        <m:oMath>
          <m:r>
            <w:rPr>
              <w:rFonts w:ascii="Cambria Math" w:hAnsi="Cambria Math" w:cs="Arial"/>
              <w:color w:val="000000"/>
              <w:szCs w:val="22"/>
            </w:rPr>
            <m:t>C=1-</m:t>
          </m:r>
          <m:f>
            <m:fPr>
              <m:ctrlPr>
                <w:rPr>
                  <w:rFonts w:ascii="Cambria Math" w:hAnsi="Cambria Math" w:cs="Arial"/>
                  <w:i/>
                  <w:color w:val="000000"/>
                  <w:szCs w:val="22"/>
                </w:rPr>
              </m:ctrlPr>
            </m:fPr>
            <m:num>
              <m:r>
                <w:rPr>
                  <w:rFonts w:ascii="Cambria Math" w:hAnsi="Cambria Math" w:cs="Arial"/>
                  <w:color w:val="000000"/>
                  <w:szCs w:val="22"/>
                </w:rPr>
                <m:t>CTI</m:t>
              </m:r>
            </m:num>
            <m:den>
              <m:r>
                <w:rPr>
                  <w:rFonts w:ascii="Cambria Math" w:hAnsi="Cambria Math" w:cs="Arial"/>
                  <w:color w:val="000000"/>
                  <w:szCs w:val="22"/>
                </w:rPr>
                <m:t>MTBF</m:t>
              </m:r>
            </m:den>
          </m:f>
        </m:oMath>
      </m:oMathPara>
    </w:p>
    <w:p w14:paraId="60F3400A" w14:textId="20890FC2" w:rsidR="000E04F2" w:rsidRDefault="00FA478A" w:rsidP="00FA478A">
      <w:pPr>
        <w:pStyle w:val="List1"/>
        <w:numPr>
          <w:ilvl w:val="0"/>
          <w:numId w:val="0"/>
        </w:numPr>
        <w:ind w:left="567" w:hanging="567"/>
        <w:rPr>
          <w:rFonts w:eastAsiaTheme="minorHAnsi" w:cstheme="minorBidi"/>
          <w:color w:val="000000" w:themeColor="text1"/>
          <w:szCs w:val="22"/>
          <w:lang w:eastAsia="en-US"/>
        </w:rPr>
      </w:pPr>
      <w:r>
        <w:rPr>
          <w:rFonts w:eastAsiaTheme="minorHAnsi" w:cstheme="minorBidi"/>
          <w:color w:val="000000" w:themeColor="text1"/>
          <w:szCs w:val="22"/>
          <w:lang w:eastAsia="en-US"/>
        </w:rPr>
        <w:t>w</w:t>
      </w:r>
      <w:r w:rsidRPr="00FA478A">
        <w:rPr>
          <w:rFonts w:eastAsiaTheme="minorHAnsi" w:cstheme="minorBidi"/>
          <w:color w:val="000000" w:themeColor="text1"/>
          <w:szCs w:val="22"/>
          <w:lang w:eastAsia="en-US"/>
        </w:rPr>
        <w:t>here:</w:t>
      </w:r>
    </w:p>
    <w:p w14:paraId="452E3E6C" w14:textId="6710956D" w:rsidR="00FA478A" w:rsidRPr="00FA478A" w:rsidRDefault="00FA478A" w:rsidP="00FA478A">
      <w:pPr>
        <w:pStyle w:val="List1"/>
        <w:numPr>
          <w:ilvl w:val="0"/>
          <w:numId w:val="0"/>
        </w:numPr>
        <w:ind w:left="567" w:hanging="567"/>
        <w:rPr>
          <w:rFonts w:eastAsiaTheme="minorHAnsi" w:cstheme="minorBidi"/>
          <w:i/>
          <w:color w:val="000000" w:themeColor="text1"/>
          <w:szCs w:val="22"/>
          <w:lang w:eastAsia="en-US"/>
        </w:rPr>
      </w:pPr>
      <w:r w:rsidRPr="00FA478A">
        <w:rPr>
          <w:rFonts w:eastAsiaTheme="minorHAnsi" w:cstheme="minorBidi"/>
          <w:b/>
          <w:i/>
          <w:color w:val="000000" w:themeColor="text1"/>
          <w:szCs w:val="22"/>
          <w:lang w:eastAsia="en-US"/>
        </w:rPr>
        <w:t>MTBF</w:t>
      </w:r>
      <w:r w:rsidRPr="00FA478A">
        <w:rPr>
          <w:rFonts w:eastAsiaTheme="minorHAnsi" w:cstheme="minorBidi"/>
          <w:i/>
          <w:color w:val="000000" w:themeColor="text1"/>
          <w:szCs w:val="22"/>
          <w:lang w:eastAsia="en-US"/>
        </w:rPr>
        <w:t xml:space="preserve"> = Mean time between failures; based on a 2 year averaging period</w:t>
      </w:r>
    </w:p>
    <w:p w14:paraId="7CCD8922" w14:textId="4706B14F" w:rsidR="00FA478A" w:rsidRPr="00FA478A" w:rsidRDefault="00FA478A" w:rsidP="00FA478A">
      <w:pPr>
        <w:pStyle w:val="List1"/>
        <w:numPr>
          <w:ilvl w:val="0"/>
          <w:numId w:val="0"/>
        </w:numPr>
        <w:ind w:left="567" w:hanging="567"/>
        <w:rPr>
          <w:rFonts w:eastAsiaTheme="minorHAnsi" w:cstheme="minorBidi"/>
          <w:i/>
          <w:color w:val="000000" w:themeColor="text1"/>
          <w:szCs w:val="22"/>
          <w:lang w:eastAsia="en-US"/>
        </w:rPr>
      </w:pPr>
      <w:r w:rsidRPr="00FA478A">
        <w:rPr>
          <w:rFonts w:eastAsiaTheme="minorHAnsi" w:cstheme="minorBidi"/>
          <w:b/>
          <w:i/>
          <w:color w:val="000000" w:themeColor="text1"/>
          <w:szCs w:val="22"/>
          <w:lang w:eastAsia="en-US"/>
        </w:rPr>
        <w:t>CTI</w:t>
      </w:r>
      <w:r w:rsidRPr="00FA478A">
        <w:rPr>
          <w:rFonts w:eastAsiaTheme="minorHAnsi" w:cstheme="minorBidi"/>
          <w:i/>
          <w:color w:val="000000" w:themeColor="text1"/>
          <w:szCs w:val="22"/>
          <w:lang w:eastAsia="en-US"/>
        </w:rPr>
        <w:t xml:space="preserve"> = Continuity time interval; in the case of maritime continuity equal to 15 minutes.</w:t>
      </w:r>
    </w:p>
    <w:p w14:paraId="7412D802" w14:textId="635ECDB6" w:rsidR="00FA478A" w:rsidRDefault="00FA478A" w:rsidP="00FA478A">
      <w:pPr>
        <w:pStyle w:val="List1"/>
        <w:numPr>
          <w:ilvl w:val="0"/>
          <w:numId w:val="0"/>
        </w:numPr>
        <w:rPr>
          <w:rFonts w:eastAsiaTheme="minorHAnsi" w:cstheme="minorBidi"/>
          <w:color w:val="000000" w:themeColor="text1"/>
          <w:szCs w:val="22"/>
          <w:lang w:eastAsia="en-US"/>
        </w:rPr>
      </w:pPr>
      <w:r w:rsidRPr="00FA478A">
        <w:rPr>
          <w:rFonts w:eastAsiaTheme="minorHAnsi" w:cstheme="minorBidi"/>
          <w:color w:val="000000" w:themeColor="text1"/>
          <w:szCs w:val="22"/>
          <w:lang w:eastAsia="en-US"/>
        </w:rPr>
        <w:t>For eLoran Service verification purposes the figure that needs to be calculated from the data output by the monitoring receiver is MTBF. This is found by counting up the lengths of all the periods of continued operation and taking an average. Starting at the first Epoch for which an eLoran position-fix is available and Integrity monitoring green-light indicates that it is valid (allowing for receiver cold-start time, and time to acquire DLoran corrections), successive valid epochs are counted up until a Continuity Failure occurs. At this point a single observation of Time Between Failures (TBF) has been made, this TBF figure should be stored, and the count begun again at zero.</w:t>
      </w:r>
    </w:p>
    <w:p w14:paraId="1E9E7249" w14:textId="6C5FFA5E" w:rsidR="00FA478A" w:rsidRDefault="00FA478A" w:rsidP="00FA478A">
      <w:pPr>
        <w:pStyle w:val="List1"/>
        <w:numPr>
          <w:ilvl w:val="0"/>
          <w:numId w:val="0"/>
        </w:numPr>
        <w:rPr>
          <w:rFonts w:eastAsiaTheme="minorHAnsi" w:cstheme="minorBidi"/>
          <w:color w:val="000000" w:themeColor="text1"/>
          <w:szCs w:val="22"/>
          <w:lang w:eastAsia="en-US"/>
        </w:rPr>
      </w:pPr>
      <w:r w:rsidRPr="00FA478A">
        <w:rPr>
          <w:rFonts w:eastAsiaTheme="minorHAnsi" w:cstheme="minorBidi"/>
          <w:color w:val="000000" w:themeColor="text1"/>
          <w:szCs w:val="22"/>
          <w:lang w:eastAsia="en-US"/>
        </w:rPr>
        <w:t>Recalling that planned maintenance does not count as a Continuity Failure, upon commencement of a planned maintenance outage the TBF count does not reset but is held frozen and continues to count up again after the end of the planned maintenance. Recalling also that successive Continuity Failures within one CTI do not count as separate incidents, any TBF count not greater than the CTI is ignored, and a new count begins again at zero.</w:t>
      </w:r>
    </w:p>
    <w:p w14:paraId="257D0425" w14:textId="11D574E3" w:rsidR="0069791D" w:rsidRPr="00FA478A" w:rsidRDefault="00FA478A" w:rsidP="00FA478A">
      <w:pPr>
        <w:pStyle w:val="List1"/>
        <w:numPr>
          <w:ilvl w:val="0"/>
          <w:numId w:val="0"/>
        </w:numPr>
        <w:rPr>
          <w:rFonts w:eastAsiaTheme="minorHAnsi" w:cstheme="minorBidi"/>
          <w:color w:val="000000" w:themeColor="text1"/>
          <w:szCs w:val="22"/>
          <w:lang w:eastAsia="en-US"/>
        </w:rPr>
      </w:pPr>
      <w:r w:rsidRPr="00FA478A">
        <w:rPr>
          <w:rFonts w:eastAsiaTheme="minorHAnsi" w:cstheme="minorBidi"/>
          <w:color w:val="000000" w:themeColor="text1"/>
          <w:szCs w:val="22"/>
          <w:lang w:eastAsia="en-US"/>
        </w:rPr>
        <w:t>MTBF is the arithmetic mean of all stored TBF counts in the data-collection period. By definition this period should be two years, and Continuity figures derived over shorter time-frames than this are subject to inaccuracy.</w:t>
      </w:r>
    </w:p>
    <w:p w14:paraId="4814D263" w14:textId="49ABE724" w:rsidR="0069791D" w:rsidRDefault="007D36A3" w:rsidP="007D36A3">
      <w:pPr>
        <w:pStyle w:val="Heading1"/>
      </w:pPr>
      <w:bookmarkStart w:id="71" w:name="_Toc336181808"/>
      <w:r>
        <w:t>ACRONYMS</w:t>
      </w:r>
      <w:bookmarkEnd w:id="71"/>
    </w:p>
    <w:p w14:paraId="54BBF4D1" w14:textId="77777777" w:rsidR="007D36A3" w:rsidRDefault="007D36A3" w:rsidP="007D36A3">
      <w:pPr>
        <w:pStyle w:val="Heading1separatationline"/>
      </w:pPr>
    </w:p>
    <w:p w14:paraId="09CEFA41" w14:textId="64633F57" w:rsidR="00B30E51" w:rsidRDefault="00B30E51" w:rsidP="007D36A3">
      <w:pPr>
        <w:pStyle w:val="Acronym"/>
      </w:pPr>
      <w:r>
        <w:t>ASF</w:t>
      </w:r>
      <w:r>
        <w:tab/>
        <w:t>Additional secondary factor</w:t>
      </w:r>
    </w:p>
    <w:p w14:paraId="019CAD7D" w14:textId="3C36132C" w:rsidR="00F862D9" w:rsidRDefault="00F862D9" w:rsidP="007D36A3">
      <w:pPr>
        <w:pStyle w:val="Acronym"/>
      </w:pPr>
      <w:r>
        <w:t>ATU</w:t>
      </w:r>
      <w:r>
        <w:tab/>
      </w:r>
      <w:r w:rsidRPr="00F862D9">
        <w:t>Antenna Tuning Unit</w:t>
      </w:r>
    </w:p>
    <w:p w14:paraId="4B4A9115" w14:textId="06ACAE92" w:rsidR="00C20959" w:rsidRDefault="00C20959" w:rsidP="007D36A3">
      <w:pPr>
        <w:pStyle w:val="Acronym"/>
      </w:pPr>
      <w:r>
        <w:t>CD</w:t>
      </w:r>
      <w:r>
        <w:tab/>
        <w:t>Coding Delay</w:t>
      </w:r>
    </w:p>
    <w:p w14:paraId="0D2CE3BC" w14:textId="7F52F27F" w:rsidR="00F97B7F" w:rsidRDefault="00F97B7F" w:rsidP="007D36A3">
      <w:pPr>
        <w:pStyle w:val="Acronym"/>
      </w:pPr>
      <w:r>
        <w:t>CRI</w:t>
      </w:r>
      <w:r>
        <w:tab/>
      </w:r>
      <w:r w:rsidRPr="00F97B7F">
        <w:t>Cross-Rate Interference</w:t>
      </w:r>
    </w:p>
    <w:p w14:paraId="386C3B95" w14:textId="2B369507" w:rsidR="00B30E51" w:rsidRDefault="00B30E51" w:rsidP="007D36A3">
      <w:pPr>
        <w:pStyle w:val="Acronym"/>
      </w:pPr>
      <w:r>
        <w:t>CTI</w:t>
      </w:r>
      <w:r>
        <w:tab/>
        <w:t>Continuity Time Interval</w:t>
      </w:r>
    </w:p>
    <w:p w14:paraId="79649CFD" w14:textId="4DE8253A" w:rsidR="00C86C70" w:rsidRDefault="00C86C70" w:rsidP="007D36A3">
      <w:pPr>
        <w:pStyle w:val="Acronym"/>
      </w:pPr>
      <w:r>
        <w:t>CWI</w:t>
      </w:r>
      <w:r>
        <w:tab/>
        <w:t>Continuous Wave Interfering</w:t>
      </w:r>
    </w:p>
    <w:p w14:paraId="4054FE95" w14:textId="56A38469" w:rsidR="009C7943" w:rsidRDefault="009C7943" w:rsidP="007D36A3">
      <w:pPr>
        <w:pStyle w:val="Acronym"/>
      </w:pPr>
      <w:r>
        <w:t>DGNSS</w:t>
      </w:r>
      <w:r>
        <w:tab/>
        <w:t>Differential Global Navigation Satellite System</w:t>
      </w:r>
    </w:p>
    <w:p w14:paraId="08F966E1" w14:textId="2554084A" w:rsidR="00F97B7F" w:rsidRDefault="00F97B7F" w:rsidP="007D36A3">
      <w:pPr>
        <w:pStyle w:val="Acronym"/>
      </w:pPr>
      <w:r>
        <w:t>DLoran</w:t>
      </w:r>
      <w:r>
        <w:tab/>
        <w:t>Differential Loran</w:t>
      </w:r>
    </w:p>
    <w:p w14:paraId="6335DA49" w14:textId="11F6E15A" w:rsidR="00D71499" w:rsidRDefault="00D71499" w:rsidP="007D36A3">
      <w:pPr>
        <w:pStyle w:val="Acronym"/>
      </w:pPr>
      <w:r>
        <w:t>ECD</w:t>
      </w:r>
      <w:r>
        <w:tab/>
      </w:r>
      <w:r w:rsidR="00FA478A">
        <w:t>Envelope-to-Cycle Difference</w:t>
      </w:r>
    </w:p>
    <w:p w14:paraId="03108F9C" w14:textId="2D620666" w:rsidR="00C20959" w:rsidRDefault="00C20959" w:rsidP="007D36A3">
      <w:pPr>
        <w:pStyle w:val="Acronym"/>
      </w:pPr>
      <w:r>
        <w:t>ED</w:t>
      </w:r>
      <w:r>
        <w:tab/>
        <w:t>Emission Delay</w:t>
      </w:r>
    </w:p>
    <w:p w14:paraId="04539DF9" w14:textId="0038619E" w:rsidR="00F97B7F" w:rsidRDefault="00F97B7F" w:rsidP="007D36A3">
      <w:pPr>
        <w:pStyle w:val="Acronym"/>
      </w:pPr>
      <w:r>
        <w:t>ERP</w:t>
      </w:r>
      <w:r>
        <w:tab/>
      </w:r>
      <w:r w:rsidRPr="00F97B7F">
        <w:t>Effective Radiated Power</w:t>
      </w:r>
    </w:p>
    <w:p w14:paraId="15AEA67F" w14:textId="0346DD3E" w:rsidR="00F862D9" w:rsidRDefault="00F862D9" w:rsidP="007D36A3">
      <w:pPr>
        <w:pStyle w:val="Acronym"/>
      </w:pPr>
      <w:r>
        <w:t>FERNS</w:t>
      </w:r>
      <w:r>
        <w:tab/>
      </w:r>
      <w:r w:rsidR="00E43E26">
        <w:t>Far East Radio Navigation Service</w:t>
      </w:r>
    </w:p>
    <w:p w14:paraId="2C9B602A" w14:textId="1B55D00A" w:rsidR="00C86C70" w:rsidRDefault="00C86C70" w:rsidP="007D36A3">
      <w:pPr>
        <w:pStyle w:val="Acronym"/>
      </w:pPr>
      <w:r>
        <w:t>FFT</w:t>
      </w:r>
      <w:r>
        <w:tab/>
      </w:r>
      <w:r w:rsidRPr="00C86C70">
        <w:t>Fast Fourier Transform</w:t>
      </w:r>
    </w:p>
    <w:p w14:paraId="62CF3B86" w14:textId="48FFCCC4" w:rsidR="007D36A3" w:rsidRDefault="00AD6E1D" w:rsidP="007D36A3">
      <w:pPr>
        <w:pStyle w:val="Acronym"/>
      </w:pPr>
      <w:r>
        <w:t>GNSS</w:t>
      </w:r>
      <w:r>
        <w:tab/>
      </w:r>
      <w:r w:rsidR="00B30E51">
        <w:t>Global Navigation Satellite System</w:t>
      </w:r>
    </w:p>
    <w:p w14:paraId="5DE8FEC1" w14:textId="7203BFF6" w:rsidR="00C86C70" w:rsidRDefault="00C86C70" w:rsidP="007D36A3">
      <w:pPr>
        <w:pStyle w:val="Acronym"/>
      </w:pPr>
      <w:r>
        <w:t>GPS</w:t>
      </w:r>
      <w:r>
        <w:tab/>
      </w:r>
      <w:r w:rsidR="00F524F9" w:rsidRPr="00754D7E">
        <w:t>Global Positioning System</w:t>
      </w:r>
    </w:p>
    <w:p w14:paraId="249C4FC6" w14:textId="63055FB1" w:rsidR="00C20959" w:rsidRDefault="00C20959" w:rsidP="007D36A3">
      <w:pPr>
        <w:pStyle w:val="Acronym"/>
      </w:pPr>
      <w:r>
        <w:t>GRI</w:t>
      </w:r>
      <w:r>
        <w:tab/>
      </w:r>
      <w:r w:rsidRPr="00C20959">
        <w:t>Group Repetition Interval</w:t>
      </w:r>
    </w:p>
    <w:p w14:paraId="2A4D5126" w14:textId="14B5C8E4" w:rsidR="008D2ED0" w:rsidRDefault="008D2ED0" w:rsidP="007D36A3">
      <w:pPr>
        <w:pStyle w:val="Acronym"/>
      </w:pPr>
      <w:r>
        <w:t>HAL</w:t>
      </w:r>
      <w:r>
        <w:tab/>
      </w:r>
      <w:r w:rsidRPr="008D2ED0">
        <w:t>Horizontal Alert Limit</w:t>
      </w:r>
    </w:p>
    <w:p w14:paraId="78F6FC58" w14:textId="7B1AAD3A" w:rsidR="008D2ED0" w:rsidRDefault="008D2ED0" w:rsidP="007D36A3">
      <w:pPr>
        <w:pStyle w:val="Acronym"/>
      </w:pPr>
      <w:r>
        <w:t>HDOP</w:t>
      </w:r>
      <w:r>
        <w:tab/>
      </w:r>
      <w:r w:rsidRPr="00E43E26">
        <w:t>Horizontal Dilution of P</w:t>
      </w:r>
      <w:r w:rsidR="00E43E26" w:rsidRPr="00E43E26">
        <w:t>rec</w:t>
      </w:r>
      <w:r w:rsidR="00E43E26">
        <w:t>ision</w:t>
      </w:r>
    </w:p>
    <w:p w14:paraId="35079409" w14:textId="216984CA" w:rsidR="00976B66" w:rsidRDefault="00976B66" w:rsidP="007D36A3">
      <w:pPr>
        <w:pStyle w:val="Acronym"/>
      </w:pPr>
      <w:r>
        <w:t>HPL</w:t>
      </w:r>
      <w:r>
        <w:tab/>
      </w:r>
      <w:r w:rsidRPr="00976B66">
        <w:t>Horizontal Protection Level</w:t>
      </w:r>
    </w:p>
    <w:p w14:paraId="231D2C51" w14:textId="54EFB52D" w:rsidR="00AD6E1D" w:rsidRDefault="00AD6E1D" w:rsidP="007D36A3">
      <w:pPr>
        <w:pStyle w:val="Acronym"/>
      </w:pPr>
      <w:r>
        <w:t>IALA</w:t>
      </w:r>
      <w:r>
        <w:tab/>
      </w:r>
      <w:r w:rsidR="00F524F9" w:rsidRPr="00754D7E">
        <w:t>International Association of Marine Aids to Navigation and Lighthouse Authorities</w:t>
      </w:r>
    </w:p>
    <w:p w14:paraId="72355073" w14:textId="025C4D42" w:rsidR="00CE42B8" w:rsidRDefault="00CE42B8" w:rsidP="007D36A3">
      <w:pPr>
        <w:pStyle w:val="Acronym"/>
      </w:pPr>
      <w:r>
        <w:t>ID</w:t>
      </w:r>
      <w:r>
        <w:tab/>
        <w:t>Identity</w:t>
      </w:r>
    </w:p>
    <w:p w14:paraId="0E05777D" w14:textId="78535413" w:rsidR="00220D95" w:rsidRDefault="00220D95" w:rsidP="007D36A3">
      <w:pPr>
        <w:pStyle w:val="Acronym"/>
      </w:pPr>
      <w:r>
        <w:t>IEC</w:t>
      </w:r>
      <w:r>
        <w:tab/>
      </w:r>
      <w:r w:rsidR="00F524F9" w:rsidRPr="004320DB">
        <w:rPr>
          <w:rFonts w:cs="Arial"/>
          <w:bCs/>
          <w:color w:val="000000" w:themeColor="text1"/>
        </w:rPr>
        <w:t>International Electrotechnical Commission</w:t>
      </w:r>
    </w:p>
    <w:p w14:paraId="0456E16D" w14:textId="4C86FCD5" w:rsidR="00976B66" w:rsidRDefault="00976B66" w:rsidP="007D36A3">
      <w:pPr>
        <w:pStyle w:val="Acronym"/>
      </w:pPr>
      <w:r>
        <w:t>IHO</w:t>
      </w:r>
      <w:r>
        <w:tab/>
      </w:r>
      <w:r w:rsidR="00F524F9" w:rsidRPr="00754D7E">
        <w:t>International Hydrographic Organization</w:t>
      </w:r>
    </w:p>
    <w:p w14:paraId="02C5A133" w14:textId="22819B98" w:rsidR="00220D95" w:rsidRDefault="00220D95" w:rsidP="007D36A3">
      <w:pPr>
        <w:pStyle w:val="Acronym"/>
      </w:pPr>
      <w:r>
        <w:t>ILA</w:t>
      </w:r>
      <w:r>
        <w:tab/>
      </w:r>
      <w:r w:rsidRPr="00220D95">
        <w:t>International Loran Association</w:t>
      </w:r>
    </w:p>
    <w:p w14:paraId="0B30832F" w14:textId="1ABB71E8" w:rsidR="00B30E51" w:rsidRDefault="00B30E51" w:rsidP="007D36A3">
      <w:pPr>
        <w:pStyle w:val="Acronym"/>
      </w:pPr>
      <w:r>
        <w:t>IMO</w:t>
      </w:r>
      <w:r>
        <w:tab/>
      </w:r>
      <w:r w:rsidR="00220D95">
        <w:t>I</w:t>
      </w:r>
      <w:r w:rsidR="00220D95" w:rsidRPr="00220D95">
        <w:t>nternational Maritime Organisation</w:t>
      </w:r>
    </w:p>
    <w:p w14:paraId="082A9505" w14:textId="4C71F26D" w:rsidR="00C86C70" w:rsidRDefault="00C86C70" w:rsidP="007D36A3">
      <w:pPr>
        <w:pStyle w:val="Acronym"/>
      </w:pPr>
      <w:r>
        <w:t>ITU-R</w:t>
      </w:r>
      <w:r>
        <w:tab/>
      </w:r>
      <w:r w:rsidR="00F524F9" w:rsidRPr="00754D7E">
        <w:t>International Telecommunication Union</w:t>
      </w:r>
      <w:r w:rsidR="00F524F9" w:rsidRPr="00754D7E">
        <w:rPr>
          <w:rFonts w:cs="Arial"/>
          <w:color w:val="1A1A1A"/>
        </w:rPr>
        <w:t>-</w:t>
      </w:r>
      <w:r w:rsidR="00F524F9" w:rsidRPr="00754D7E">
        <w:rPr>
          <w:rFonts w:cs="Arial"/>
          <w:color w:val="1A1A1A"/>
          <w:lang w:val="en-US"/>
        </w:rPr>
        <w:t>Radiocommunication Sector</w:t>
      </w:r>
    </w:p>
    <w:p w14:paraId="78BA9018" w14:textId="77777777" w:rsidR="00F524F9" w:rsidRDefault="00F524F9" w:rsidP="00F524F9">
      <w:pPr>
        <w:pStyle w:val="Acronym"/>
      </w:pPr>
      <w:r>
        <w:t>kHz</w:t>
      </w:r>
      <w:r>
        <w:tab/>
        <w:t>kilohertz</w:t>
      </w:r>
    </w:p>
    <w:p w14:paraId="2836CE40" w14:textId="77777777" w:rsidR="00F524F9" w:rsidRDefault="00F524F9" w:rsidP="00F524F9">
      <w:pPr>
        <w:pStyle w:val="Acronym"/>
      </w:pPr>
      <w:r>
        <w:t>km</w:t>
      </w:r>
      <w:r>
        <w:tab/>
        <w:t>kilometre</w:t>
      </w:r>
    </w:p>
    <w:p w14:paraId="59932585" w14:textId="77777777" w:rsidR="00F524F9" w:rsidRDefault="00F524F9" w:rsidP="00F524F9">
      <w:pPr>
        <w:pStyle w:val="Acronym"/>
      </w:pPr>
      <w:r>
        <w:t>kW</w:t>
      </w:r>
      <w:r>
        <w:tab/>
        <w:t>kilowatt</w:t>
      </w:r>
    </w:p>
    <w:p w14:paraId="5D0E4C8C" w14:textId="61FCF710" w:rsidR="00C86C70" w:rsidRDefault="00C86C70" w:rsidP="007D36A3">
      <w:pPr>
        <w:pStyle w:val="Acronym"/>
      </w:pPr>
      <w:r>
        <w:t>LDC</w:t>
      </w:r>
      <w:r>
        <w:tab/>
      </w:r>
      <w:r w:rsidR="00F97B7F" w:rsidRPr="00F97B7F">
        <w:t>Loran Data Channel</w:t>
      </w:r>
    </w:p>
    <w:p w14:paraId="312882D9" w14:textId="23547E82" w:rsidR="00976B66" w:rsidRDefault="00976B66" w:rsidP="007D36A3">
      <w:pPr>
        <w:pStyle w:val="Acronym"/>
      </w:pPr>
      <w:r>
        <w:t>LED</w:t>
      </w:r>
      <w:r>
        <w:tab/>
      </w:r>
      <w:r w:rsidR="00F524F9" w:rsidRPr="00EF5E9A">
        <w:t>Light</w:t>
      </w:r>
      <w:r w:rsidR="00F524F9" w:rsidRPr="00EE70F2">
        <w:rPr>
          <w:color w:val="000000" w:themeColor="text1"/>
        </w:rPr>
        <w:t>-</w:t>
      </w:r>
      <w:r w:rsidR="00F524F9">
        <w:rPr>
          <w:color w:val="000000" w:themeColor="text1"/>
        </w:rPr>
        <w:t>E</w:t>
      </w:r>
      <w:r w:rsidR="00F524F9" w:rsidRPr="00EE70F2">
        <w:rPr>
          <w:color w:val="000000" w:themeColor="text1"/>
        </w:rPr>
        <w:t>mitting</w:t>
      </w:r>
      <w:r w:rsidR="00F524F9" w:rsidRPr="00EF5E9A">
        <w:t xml:space="preserve"> Diode</w:t>
      </w:r>
    </w:p>
    <w:p w14:paraId="185F5079" w14:textId="5DEF64B7" w:rsidR="00B30E51" w:rsidRDefault="00B30E51" w:rsidP="007D36A3">
      <w:pPr>
        <w:pStyle w:val="Acronym"/>
      </w:pPr>
      <w:r>
        <w:t>LORAN</w:t>
      </w:r>
      <w:r>
        <w:tab/>
      </w:r>
      <w:r w:rsidR="00F524F9">
        <w:t>LO</w:t>
      </w:r>
      <w:r w:rsidR="00291656">
        <w:t>ng Range NAVigation</w:t>
      </w:r>
    </w:p>
    <w:p w14:paraId="720813A8" w14:textId="27A839BF" w:rsidR="00C86C70" w:rsidRDefault="00FA478A" w:rsidP="007D36A3">
      <w:pPr>
        <w:pStyle w:val="Acronym"/>
      </w:pPr>
      <w:r>
        <w:t>LO</w:t>
      </w:r>
      <w:r w:rsidR="00C86C70">
        <w:t>RAP</w:t>
      </w:r>
      <w:r>
        <w:t>P</w:t>
      </w:r>
      <w:r w:rsidR="00C86C70">
        <w:tab/>
      </w:r>
      <w:r w:rsidRPr="00FA478A">
        <w:t>LORan Accuracy Performance Panel</w:t>
      </w:r>
      <w:r>
        <w:t xml:space="preserve"> </w:t>
      </w:r>
    </w:p>
    <w:p w14:paraId="3AE716DB" w14:textId="7D6E76EE" w:rsidR="00C86C70" w:rsidRDefault="00FA478A" w:rsidP="007D36A3">
      <w:pPr>
        <w:pStyle w:val="Acronym"/>
      </w:pPr>
      <w:r>
        <w:t>LOR</w:t>
      </w:r>
      <w:r w:rsidR="00C86C70">
        <w:t>IP</w:t>
      </w:r>
      <w:r>
        <w:t>P</w:t>
      </w:r>
      <w:r w:rsidR="00C86C70">
        <w:tab/>
      </w:r>
      <w:r w:rsidRPr="00FA478A">
        <w:t>LORan Integrity Performance Panel</w:t>
      </w:r>
    </w:p>
    <w:p w14:paraId="67FFF579" w14:textId="4DA745A9" w:rsidR="00B30E51" w:rsidRDefault="00B30E51" w:rsidP="007D36A3">
      <w:pPr>
        <w:pStyle w:val="Acronym"/>
      </w:pPr>
      <w:r>
        <w:t>m</w:t>
      </w:r>
      <w:r>
        <w:tab/>
        <w:t>metre</w:t>
      </w:r>
    </w:p>
    <w:p w14:paraId="4CE30E52" w14:textId="3057C926" w:rsidR="00D71499" w:rsidRDefault="00D71499" w:rsidP="007D36A3">
      <w:pPr>
        <w:pStyle w:val="Acronym"/>
      </w:pPr>
      <w:r>
        <w:t>M</w:t>
      </w:r>
      <w:r w:rsidR="00DA6173">
        <w:t>o</w:t>
      </w:r>
      <w:r>
        <w:t>U</w:t>
      </w:r>
      <w:r>
        <w:tab/>
        <w:t>Memorandum of Understanding</w:t>
      </w:r>
    </w:p>
    <w:p w14:paraId="55AF0779" w14:textId="68860D46" w:rsidR="00D71499" w:rsidRDefault="00DA6173" w:rsidP="007D36A3">
      <w:pPr>
        <w:pStyle w:val="Acronym"/>
      </w:pPr>
      <w:r>
        <w:t>MTB</w:t>
      </w:r>
      <w:r w:rsidR="00D71499">
        <w:t>F</w:t>
      </w:r>
      <w:r w:rsidR="00D71499">
        <w:tab/>
      </w:r>
      <w:r w:rsidR="008D2ED0" w:rsidRPr="00D71499">
        <w:rPr>
          <w:iCs/>
        </w:rPr>
        <w:t>Mean time between</w:t>
      </w:r>
      <w:r w:rsidR="008D2ED0">
        <w:rPr>
          <w:iCs/>
        </w:rPr>
        <w:t xml:space="preserve"> failures</w:t>
      </w:r>
    </w:p>
    <w:p w14:paraId="1F1A926A" w14:textId="38C6D24E" w:rsidR="00D71499" w:rsidRDefault="00D71499" w:rsidP="007D36A3">
      <w:pPr>
        <w:pStyle w:val="Acronym"/>
      </w:pPr>
      <w:r>
        <w:t>MTBO</w:t>
      </w:r>
      <w:r>
        <w:tab/>
      </w:r>
      <w:r w:rsidRPr="00D71499">
        <w:rPr>
          <w:iCs/>
        </w:rPr>
        <w:t>Mean time between outages</w:t>
      </w:r>
    </w:p>
    <w:p w14:paraId="596FACCC" w14:textId="019BEBBB" w:rsidR="00D71499" w:rsidRDefault="00D71499" w:rsidP="00D71499">
      <w:pPr>
        <w:pStyle w:val="Acronym"/>
      </w:pPr>
      <w:r>
        <w:t>MTSR</w:t>
      </w:r>
      <w:r>
        <w:tab/>
      </w:r>
      <w:r w:rsidRPr="00D71499">
        <w:rPr>
          <w:iCs/>
        </w:rPr>
        <w:t>Mean time to service restoratio</w:t>
      </w:r>
      <w:r>
        <w:rPr>
          <w:iCs/>
        </w:rPr>
        <w:t>n</w:t>
      </w:r>
    </w:p>
    <w:p w14:paraId="7F7FCDA6" w14:textId="6501656B" w:rsidR="00F862D9" w:rsidRDefault="00F862D9" w:rsidP="007D36A3">
      <w:pPr>
        <w:pStyle w:val="Acronym"/>
      </w:pPr>
      <w:r>
        <w:t>MW</w:t>
      </w:r>
      <w:r>
        <w:tab/>
        <w:t>megawatt</w:t>
      </w:r>
    </w:p>
    <w:p w14:paraId="506EE131" w14:textId="7170B083" w:rsidR="00B30E51" w:rsidRDefault="00B30E51" w:rsidP="007D36A3">
      <w:pPr>
        <w:pStyle w:val="Acronym"/>
      </w:pPr>
      <w:r>
        <w:t>N/A</w:t>
      </w:r>
      <w:r>
        <w:tab/>
        <w:t>Not applicable</w:t>
      </w:r>
    </w:p>
    <w:p w14:paraId="6DA92441" w14:textId="64138CD2" w:rsidR="00C86C70" w:rsidRDefault="00C86C70" w:rsidP="007D36A3">
      <w:pPr>
        <w:pStyle w:val="Acronym"/>
      </w:pPr>
      <w:r>
        <w:t>NELS</w:t>
      </w:r>
      <w:r>
        <w:tab/>
        <w:t>N</w:t>
      </w:r>
      <w:r w:rsidRPr="00C86C70">
        <w:t>orthwest European Loran System</w:t>
      </w:r>
    </w:p>
    <w:p w14:paraId="19144E32" w14:textId="3B089C3F" w:rsidR="009F3C96" w:rsidRDefault="009F3C96" w:rsidP="007D36A3">
      <w:pPr>
        <w:pStyle w:val="Acronym"/>
      </w:pPr>
      <w:r>
        <w:t>PC</w:t>
      </w:r>
      <w:r>
        <w:tab/>
        <w:t>Personal Computer</w:t>
      </w:r>
    </w:p>
    <w:p w14:paraId="16A46A0D" w14:textId="15E92775" w:rsidR="00C86C70" w:rsidRDefault="00C86C70" w:rsidP="007D36A3">
      <w:pPr>
        <w:pStyle w:val="Acronym"/>
      </w:pPr>
      <w:r>
        <w:t>PC</w:t>
      </w:r>
      <w:r>
        <w:tab/>
      </w:r>
      <w:r>
        <w:rPr>
          <w:rFonts w:ascii="Arial" w:hAnsi="Arial" w:cs="Arial"/>
        </w:rPr>
        <w:t>Phase Code</w:t>
      </w:r>
    </w:p>
    <w:p w14:paraId="7FFF0BFF" w14:textId="4970E88C" w:rsidR="003A1746" w:rsidRDefault="003A1746" w:rsidP="007D36A3">
      <w:pPr>
        <w:pStyle w:val="Acronym"/>
      </w:pPr>
      <w:r>
        <w:t>PCI</w:t>
      </w:r>
      <w:r>
        <w:tab/>
      </w:r>
      <w:r w:rsidR="00C86C70" w:rsidRPr="00C86C70">
        <w:t>Phase Code Interval</w:t>
      </w:r>
    </w:p>
    <w:p w14:paraId="4ADF5F65" w14:textId="77777777" w:rsidR="00DA6173" w:rsidRDefault="00DA6173" w:rsidP="00DA6173">
      <w:pPr>
        <w:pStyle w:val="Acronym"/>
      </w:pPr>
      <w:r>
        <w:t>PNT</w:t>
      </w:r>
      <w:r>
        <w:tab/>
        <w:t>Position, Navigation &amp; Timing</w:t>
      </w:r>
    </w:p>
    <w:p w14:paraId="6400D068" w14:textId="1F5520DE" w:rsidR="00220D95" w:rsidRDefault="00220D95" w:rsidP="007D36A3">
      <w:pPr>
        <w:pStyle w:val="Acronym"/>
      </w:pPr>
      <w:r>
        <w:t>PPM</w:t>
      </w:r>
      <w:r>
        <w:tab/>
      </w:r>
      <w:r w:rsidR="00DA6173">
        <w:t>Pulse Position M</w:t>
      </w:r>
      <w:r w:rsidRPr="00220D95">
        <w:t>odulation</w:t>
      </w:r>
    </w:p>
    <w:p w14:paraId="25787C7D" w14:textId="077CD551" w:rsidR="00C20959" w:rsidRDefault="00C20959" w:rsidP="007D36A3">
      <w:pPr>
        <w:pStyle w:val="Acronym"/>
      </w:pPr>
      <w:r>
        <w:t>RAIM</w:t>
      </w:r>
      <w:r>
        <w:tab/>
        <w:t>Receiver Autonomous Integrity Monitoring</w:t>
      </w:r>
    </w:p>
    <w:p w14:paraId="075DD466" w14:textId="12C28688" w:rsidR="00C86C70" w:rsidRDefault="00C86C70" w:rsidP="007D36A3">
      <w:pPr>
        <w:pStyle w:val="Acronym"/>
      </w:pPr>
      <w:r>
        <w:t>rho-rho</w:t>
      </w:r>
      <w:r>
        <w:tab/>
      </w:r>
      <w:r w:rsidR="00931EB4">
        <w:t>Rho-Rho (range-range) navigation system (navigation using two precisely synchronised transmissions and a precise on board clock)</w:t>
      </w:r>
    </w:p>
    <w:p w14:paraId="25284FEB" w14:textId="217FF9E2" w:rsidR="00B30E51" w:rsidRDefault="00B30E51" w:rsidP="007D36A3">
      <w:pPr>
        <w:pStyle w:val="Acronym"/>
      </w:pPr>
      <w:r>
        <w:t>RTCM</w:t>
      </w:r>
      <w:r w:rsidR="00C20959">
        <w:tab/>
      </w:r>
      <w:r w:rsidR="00220D95" w:rsidRPr="00220D95">
        <w:t xml:space="preserve">Radio Technical Commission </w:t>
      </w:r>
      <w:r w:rsidR="00220D95" w:rsidRPr="00DA6173">
        <w:t>for Maritime Services</w:t>
      </w:r>
    </w:p>
    <w:p w14:paraId="71717EF1" w14:textId="32870424" w:rsidR="00C86C70" w:rsidRDefault="00C86C70" w:rsidP="007D36A3">
      <w:pPr>
        <w:pStyle w:val="Acronym"/>
      </w:pPr>
      <w:r>
        <w:t>SAM</w:t>
      </w:r>
      <w:r>
        <w:tab/>
      </w:r>
      <w:r w:rsidRPr="00C86C70">
        <w:t>Service Area Monitor</w:t>
      </w:r>
    </w:p>
    <w:p w14:paraId="3D0AEE72" w14:textId="676A65B3" w:rsidR="00CB380B" w:rsidRDefault="00CB380B" w:rsidP="007D36A3">
      <w:pPr>
        <w:pStyle w:val="Acronym"/>
      </w:pPr>
      <w:r>
        <w:t>SC</w:t>
      </w:r>
      <w:r>
        <w:tab/>
        <w:t>Special Committee (RTCM)</w:t>
      </w:r>
    </w:p>
    <w:p w14:paraId="35ED9F39" w14:textId="78022080" w:rsidR="00220D95" w:rsidRDefault="00220D95" w:rsidP="007D36A3">
      <w:pPr>
        <w:pStyle w:val="Acronym"/>
      </w:pPr>
      <w:r>
        <w:t>TD</w:t>
      </w:r>
      <w:r>
        <w:tab/>
        <w:t>Time Difference(s)</w:t>
      </w:r>
    </w:p>
    <w:p w14:paraId="3B2E40ED" w14:textId="65560BEC" w:rsidR="00C20959" w:rsidRDefault="00C20959" w:rsidP="007D36A3">
      <w:pPr>
        <w:pStyle w:val="Acronym"/>
      </w:pPr>
      <w:r>
        <w:t>TOA</w:t>
      </w:r>
      <w:r>
        <w:tab/>
      </w:r>
      <w:r w:rsidR="00CB380B">
        <w:t>Time</w:t>
      </w:r>
      <w:r w:rsidRPr="00C20959">
        <w:t xml:space="preserve"> of arrival</w:t>
      </w:r>
    </w:p>
    <w:p w14:paraId="04A5C3B1" w14:textId="4F7BEE46" w:rsidR="00220D95" w:rsidRDefault="00220D95" w:rsidP="007D36A3">
      <w:pPr>
        <w:pStyle w:val="Acronym"/>
      </w:pPr>
      <w:r>
        <w:t>TOE</w:t>
      </w:r>
      <w:r>
        <w:tab/>
        <w:t>Time of emission</w:t>
      </w:r>
    </w:p>
    <w:p w14:paraId="66511412" w14:textId="6070D74F" w:rsidR="00220D95" w:rsidRDefault="00220D95" w:rsidP="007D36A3">
      <w:pPr>
        <w:pStyle w:val="Acronym"/>
      </w:pPr>
      <w:r>
        <w:t>TOT</w:t>
      </w:r>
      <w:r>
        <w:tab/>
        <w:t>Time of transmission</w:t>
      </w:r>
    </w:p>
    <w:p w14:paraId="68D204E3" w14:textId="5526645C" w:rsidR="009C7943" w:rsidRDefault="009C7943" w:rsidP="007D36A3">
      <w:pPr>
        <w:pStyle w:val="Acronym"/>
      </w:pPr>
      <w:r>
        <w:t>UPS</w:t>
      </w:r>
      <w:r>
        <w:tab/>
      </w:r>
      <w:r w:rsidRPr="009C7943">
        <w:t>Uninterruptible Power Supply</w:t>
      </w:r>
    </w:p>
    <w:p w14:paraId="5B102F22" w14:textId="2EAF2364" w:rsidR="00C20959" w:rsidRDefault="00C20959" w:rsidP="007D36A3">
      <w:pPr>
        <w:pStyle w:val="Acronym"/>
      </w:pPr>
      <w:r>
        <w:t>UTC</w:t>
      </w:r>
      <w:r>
        <w:tab/>
        <w:t>Universal Time Co-ordinated</w:t>
      </w:r>
    </w:p>
    <w:p w14:paraId="78D10C34" w14:textId="79291801" w:rsidR="0037692B" w:rsidRDefault="0037692B" w:rsidP="007D36A3">
      <w:pPr>
        <w:pStyle w:val="Acronym"/>
      </w:pPr>
      <w:r>
        <w:t>UT1</w:t>
      </w:r>
      <w:r>
        <w:tab/>
        <w:t>Mean solar time</w:t>
      </w:r>
    </w:p>
    <w:p w14:paraId="0FED751E" w14:textId="1C5B5BBC" w:rsidR="00C20959" w:rsidRDefault="00C20959" w:rsidP="007D36A3">
      <w:pPr>
        <w:pStyle w:val="Acronym"/>
      </w:pPr>
      <w:r>
        <w:t>VPN</w:t>
      </w:r>
      <w:r>
        <w:tab/>
        <w:t>Virtual Private Network</w:t>
      </w:r>
    </w:p>
    <w:p w14:paraId="62918C32" w14:textId="3B45A7AD" w:rsidR="00F862D9" w:rsidRDefault="00F862D9" w:rsidP="007D36A3">
      <w:pPr>
        <w:pStyle w:val="Acronym"/>
      </w:pPr>
      <w:r>
        <w:t>VTS</w:t>
      </w:r>
      <w:r>
        <w:tab/>
        <w:t>Vessel Traffic Service</w:t>
      </w:r>
      <w:r w:rsidR="00222A9E">
        <w:t>(</w:t>
      </w:r>
      <w:r>
        <w:t>s</w:t>
      </w:r>
      <w:r w:rsidR="00222A9E">
        <w:t>)</w:t>
      </w:r>
    </w:p>
    <w:p w14:paraId="366A5CF6" w14:textId="6FFF8861" w:rsidR="009C7943" w:rsidRDefault="009C7943" w:rsidP="007D36A3">
      <w:pPr>
        <w:pStyle w:val="Acronym"/>
      </w:pPr>
      <w:r>
        <w:t>WGS84</w:t>
      </w:r>
      <w:r>
        <w:tab/>
      </w:r>
      <w:r w:rsidR="00222A9E" w:rsidRPr="007132D5">
        <w:t>World Geodetic System 1984 (Reference co</w:t>
      </w:r>
      <w:r w:rsidR="00180492">
        <w:t>-</w:t>
      </w:r>
      <w:r w:rsidR="00222A9E" w:rsidRPr="007132D5">
        <w:t>ordinate system used by GPS)</w:t>
      </w:r>
    </w:p>
    <w:p w14:paraId="12A7763B" w14:textId="1BF5B4B1" w:rsidR="00AD6E1D" w:rsidRDefault="00AD6E1D" w:rsidP="007D36A3">
      <w:pPr>
        <w:pStyle w:val="Acronym"/>
      </w:pPr>
      <w:r>
        <w:t>WWRNS</w:t>
      </w:r>
      <w:r>
        <w:tab/>
      </w:r>
      <w:r w:rsidRPr="00AD6E1D">
        <w:t>World-Wide Radio Navigation Systems</w:t>
      </w:r>
    </w:p>
    <w:p w14:paraId="391FDCB0" w14:textId="4B4DB7A0" w:rsidR="00180492" w:rsidRPr="007D36A3" w:rsidRDefault="00180492" w:rsidP="007D36A3">
      <w:pPr>
        <w:pStyle w:val="Acronym"/>
      </w:pPr>
      <w:r>
        <w:t>µs</w:t>
      </w:r>
      <w:r>
        <w:tab/>
        <w:t>microsecond</w:t>
      </w:r>
    </w:p>
    <w:p w14:paraId="61D7FCB9" w14:textId="4E005C64" w:rsidR="0069791D" w:rsidRDefault="00B30E51" w:rsidP="007D36A3">
      <w:pPr>
        <w:pStyle w:val="Heading1"/>
      </w:pPr>
      <w:bookmarkStart w:id="72" w:name="_Ref453942283"/>
      <w:bookmarkStart w:id="73" w:name="_Toc336181809"/>
      <w:r>
        <w:rPr>
          <w:caps w:val="0"/>
        </w:rPr>
        <w:t>REFERENCES</w:t>
      </w:r>
      <w:bookmarkEnd w:id="72"/>
      <w:bookmarkEnd w:id="73"/>
    </w:p>
    <w:p w14:paraId="3E5A6BD2" w14:textId="77777777" w:rsidR="007D36A3" w:rsidRPr="007D36A3" w:rsidRDefault="007D36A3" w:rsidP="007D36A3">
      <w:pPr>
        <w:pStyle w:val="Heading1separatationline"/>
      </w:pPr>
    </w:p>
    <w:p w14:paraId="36074077" w14:textId="7691DC43" w:rsidR="0069791D" w:rsidRDefault="0069791D" w:rsidP="007D36A3">
      <w:pPr>
        <w:pStyle w:val="Reference"/>
      </w:pPr>
      <w:bookmarkStart w:id="74" w:name="_Ref453940001"/>
      <w:r>
        <w:t>IMO Resolution A.1046 (27) – ‘Worldwide Radionavigation System’</w:t>
      </w:r>
      <w:bookmarkEnd w:id="74"/>
    </w:p>
    <w:p w14:paraId="4F40E75A" w14:textId="32475B99" w:rsidR="0069791D" w:rsidRDefault="0069791D" w:rsidP="007D36A3">
      <w:pPr>
        <w:pStyle w:val="Reference"/>
      </w:pPr>
      <w:bookmarkStart w:id="75" w:name="_Ref453940021"/>
      <w:r>
        <w:t>‘Minimum Performance Standards for Marine eLoran Receiving Equipment’, V2.07, RTCM SC-127, June 2015</w:t>
      </w:r>
      <w:bookmarkEnd w:id="75"/>
    </w:p>
    <w:p w14:paraId="07F84489" w14:textId="5E27A73B" w:rsidR="0069791D" w:rsidRDefault="0069791D" w:rsidP="007D36A3">
      <w:pPr>
        <w:pStyle w:val="Reference"/>
      </w:pPr>
      <w:bookmarkStart w:id="76" w:name="_Ref453940038"/>
      <w:r>
        <w:t>IMO Resolution A-915 (22) ‘Maritime Policy for a Future Global Navigation Satellite System (GNSS)’, Publications Section, International Maritime Organization</w:t>
      </w:r>
      <w:bookmarkEnd w:id="76"/>
      <w:r>
        <w:t xml:space="preserve"> </w:t>
      </w:r>
    </w:p>
    <w:p w14:paraId="2D59B211" w14:textId="07397234" w:rsidR="0069791D" w:rsidRDefault="0069791D" w:rsidP="007D36A3">
      <w:pPr>
        <w:pStyle w:val="Reference"/>
      </w:pPr>
      <w:bookmarkStart w:id="77" w:name="_Ref453940063"/>
      <w:r>
        <w:t>‘IALA Recommendation R-129 ‘On GNSS Vulnerability and Mitigation Measures</w:t>
      </w:r>
      <w:r w:rsidR="007D36A3">
        <w:t xml:space="preserve">. </w:t>
      </w:r>
      <w:r>
        <w:t xml:space="preserve">Edition </w:t>
      </w:r>
      <w:r w:rsidR="00296B1E">
        <w:t>3</w:t>
      </w:r>
      <w:r>
        <w:t xml:space="preserve"> December 20</w:t>
      </w:r>
      <w:bookmarkEnd w:id="77"/>
      <w:r w:rsidR="00296B1E">
        <w:t>12</w:t>
      </w:r>
    </w:p>
    <w:p w14:paraId="65111362" w14:textId="5E980671" w:rsidR="0069791D" w:rsidRDefault="0069791D" w:rsidP="007D36A3">
      <w:pPr>
        <w:pStyle w:val="Reference"/>
      </w:pPr>
      <w:bookmarkStart w:id="78" w:name="_Ref453941277"/>
      <w:r>
        <w:t>‘Enhanced Loran (eLoran) LORIPP/LORAPP Draft Specification of the eLoran System’, Rev. 4.0.</w:t>
      </w:r>
      <w:bookmarkEnd w:id="78"/>
    </w:p>
    <w:p w14:paraId="5B21954E" w14:textId="5B51723A" w:rsidR="0069791D" w:rsidRDefault="0069791D" w:rsidP="007D36A3">
      <w:pPr>
        <w:pStyle w:val="Reference"/>
      </w:pPr>
      <w:bookmarkStart w:id="79" w:name="_Ref453941301"/>
      <w:r>
        <w:t>ITU-R Recommendation M.589-2, ‘Technical characteristics of methods of data transmission and interference protection for radionavigation services in the frequency bands between 70 and 130 kHz’.</w:t>
      </w:r>
      <w:bookmarkEnd w:id="79"/>
    </w:p>
    <w:p w14:paraId="3269B118" w14:textId="38934854" w:rsidR="0069791D" w:rsidRDefault="0069791D" w:rsidP="007D36A3">
      <w:pPr>
        <w:pStyle w:val="Reference"/>
      </w:pPr>
      <w:bookmarkStart w:id="80" w:name="_Ref453941329"/>
      <w:r>
        <w:t>‘Enhanced Loran for Maritime Harbor Entrance and Appro</w:t>
      </w:r>
      <w:r w:rsidR="001C31A3">
        <w:t xml:space="preserve">ach’, Benjamin Peterson et al, </w:t>
      </w:r>
      <w:r>
        <w:t>Institute of Navigation National Technical Meeting 2004.</w:t>
      </w:r>
      <w:bookmarkEnd w:id="80"/>
    </w:p>
    <w:p w14:paraId="1BBBC4CE" w14:textId="0BE15435" w:rsidR="0069791D" w:rsidRDefault="0069791D" w:rsidP="007D36A3">
      <w:pPr>
        <w:pStyle w:val="Reference"/>
      </w:pPr>
      <w:bookmarkStart w:id="81" w:name="_Ref453941348"/>
      <w:r>
        <w:t>‘ASF Surveying and Quality Assurance’, Chris Hargreaves and Paul Williams, ION PLANS, April 2012.</w:t>
      </w:r>
      <w:bookmarkEnd w:id="81"/>
      <w:r>
        <w:t xml:space="preserve"> </w:t>
      </w:r>
    </w:p>
    <w:p w14:paraId="0D79D992" w14:textId="6A9ABAC8" w:rsidR="0069791D" w:rsidRDefault="0069791D" w:rsidP="007D36A3">
      <w:pPr>
        <w:pStyle w:val="Reference"/>
      </w:pPr>
      <w:bookmarkStart w:id="82" w:name="_Ref453941369"/>
      <w:r>
        <w:t>‘Enhanced Loran for Maritime Harbor Entrance and Approach’, Benjamin Peterson and Kenneth Dykstra, Peterson Integrated Geopositioning, LLC, Peter F. Swaszek, University of Rhode Island, John Macaluso, Kevin M. Carroll, and Anthony Hawes, U. S. Coast Guard Loran Support Unit, Gordon K. Weeks Jr., U. S. Coast Guard Command and Control Center, Institute of Navigation National Technical Meeting 2004.</w:t>
      </w:r>
      <w:bookmarkEnd w:id="82"/>
      <w:r>
        <w:t xml:space="preserve"> </w:t>
      </w:r>
    </w:p>
    <w:p w14:paraId="169C7B80" w14:textId="4CFC7355" w:rsidR="0069791D" w:rsidRDefault="0069791D" w:rsidP="007D36A3">
      <w:pPr>
        <w:pStyle w:val="Reference"/>
      </w:pPr>
      <w:bookmarkStart w:id="83" w:name="_Ref453941372"/>
      <w:r>
        <w:t>‘The GLA’ eLoran Initial Operational Capability’, Paul Williams and Chris Hargreaves, The General Lighthouse Authorities of the United Kingdom and Ireland, European Navigation Conference, Gdansk, Poland, April 2012.</w:t>
      </w:r>
      <w:bookmarkEnd w:id="83"/>
      <w:r>
        <w:t xml:space="preserve"> </w:t>
      </w:r>
    </w:p>
    <w:p w14:paraId="40091F46" w14:textId="7A59ECBA" w:rsidR="0069791D" w:rsidRDefault="0069791D" w:rsidP="007D36A3">
      <w:pPr>
        <w:pStyle w:val="Reference"/>
      </w:pPr>
      <w:bookmarkStart w:id="84" w:name="_Ref453943114"/>
      <w:r>
        <w:t>IEC 61108-1 – ‘Maritime navigation and radiocommunication equipment and systems –Global navigation satellite systems (GNSS)’</w:t>
      </w:r>
      <w:bookmarkEnd w:id="84"/>
    </w:p>
    <w:p w14:paraId="39019BD8" w14:textId="3F09E9C4" w:rsidR="0069791D" w:rsidRDefault="0069791D" w:rsidP="007D36A3">
      <w:pPr>
        <w:pStyle w:val="Reference"/>
      </w:pPr>
      <w:r>
        <w:t xml:space="preserve"> </w:t>
      </w:r>
      <w:bookmarkStart w:id="85" w:name="_Ref453936835"/>
      <w:r>
        <w:t>‘Loran's Capability to Mitigate the Impact of a GPS Outage on GPS Position, Navigation, and Time Applications’, Prepared for the Federal Aviation Administration, Vice President for Technical Operations, Navigation Services Directorate; dated 31 March 2004</w:t>
      </w:r>
      <w:bookmarkEnd w:id="85"/>
    </w:p>
    <w:p w14:paraId="453D4DC1" w14:textId="2334E38A" w:rsidR="0069791D" w:rsidRDefault="0069791D" w:rsidP="007D36A3">
      <w:pPr>
        <w:pStyle w:val="Reference"/>
      </w:pPr>
      <w:r>
        <w:t xml:space="preserve"> ‘IALA List of radionavigation services - Loran-C/Chayka’ Collated and published by the</w:t>
      </w:r>
      <w:r w:rsidR="007D36A3">
        <w:t xml:space="preserve"> </w:t>
      </w:r>
      <w:r>
        <w:t>International Association of Lighthouse Authorities, First Edition - 1st July 1996</w:t>
      </w:r>
    </w:p>
    <w:p w14:paraId="5BDCBB34" w14:textId="23EAF33C" w:rsidR="0069791D" w:rsidRDefault="0069791D" w:rsidP="007D36A3">
      <w:pPr>
        <w:pStyle w:val="Reference"/>
      </w:pPr>
      <w:r>
        <w:t>[IMO Resolution A.915(22):2002, ‘Revised Maritime Policy And Requirements For A Future Global Navigation Satellite System (GNSS)’</w:t>
      </w:r>
    </w:p>
    <w:p w14:paraId="3E06AEC7" w14:textId="07820CE2" w:rsidR="0069791D" w:rsidRDefault="0069791D" w:rsidP="007D36A3">
      <w:pPr>
        <w:pStyle w:val="Reference"/>
      </w:pPr>
      <w:bookmarkStart w:id="86" w:name="_Ref453948899"/>
      <w:r>
        <w:t>‘Principles of GNSS, Inertial, and Multisensor Integrated Navigation Systems’, Paul D. Groves, Artech House, 2008.</w:t>
      </w:r>
      <w:bookmarkEnd w:id="86"/>
    </w:p>
    <w:p w14:paraId="216BEFEC" w14:textId="2867E19D" w:rsidR="0069791D" w:rsidRDefault="0069791D" w:rsidP="007D36A3">
      <w:pPr>
        <w:pStyle w:val="Reference"/>
      </w:pPr>
      <w:r>
        <w:t xml:space="preserve"> </w:t>
      </w:r>
      <w:bookmarkStart w:id="87" w:name="_Ref453948387"/>
      <w:r>
        <w:t>‘Conditions Leading to Anomalously Early Skywave’, Peter B. Morris, Northrop Grumman Information Technology, Presented to The International Loran Association 32nd Annual Convention and Technical Symposium Boulder, Colorado, 03 – 07 November 2003.</w:t>
      </w:r>
      <w:bookmarkEnd w:id="87"/>
    </w:p>
    <w:p w14:paraId="50CE0BE8" w14:textId="756E1F0A" w:rsidR="002A2A92" w:rsidRDefault="0069791D" w:rsidP="00FF4C48">
      <w:pPr>
        <w:pStyle w:val="Reference"/>
      </w:pPr>
      <w:bookmarkStart w:id="88" w:name="_Ref453948390"/>
      <w:r>
        <w:t>‘Analysis and Modeling of Skywave Behavior’, Sherman Lo, Stanford University, Robert Wenzel, Booz Allen Hamilton, Per Enge, Stanford University, International Loran Association, 2009.</w:t>
      </w:r>
      <w:bookmarkEnd w:id="88"/>
    </w:p>
    <w:p w14:paraId="39B989F2" w14:textId="0A1E0D5A" w:rsidR="00721272" w:rsidRDefault="00721272" w:rsidP="00FF4C48">
      <w:pPr>
        <w:pStyle w:val="Reference"/>
      </w:pPr>
      <w:r w:rsidRPr="00721272">
        <w:t>‘Global Navigation Satellite System Manual’, ICAO, Second Editin, June 2012.</w:t>
      </w:r>
    </w:p>
    <w:p w14:paraId="3DF2DCBC" w14:textId="5012C058" w:rsidR="00721272" w:rsidRDefault="00721272" w:rsidP="00FF4C48">
      <w:pPr>
        <w:pStyle w:val="Reference"/>
      </w:pPr>
      <w:r w:rsidRPr="00721272">
        <w:t>Roturier, B., Chatre, E., Ventura-Trvaset, J., ‘The SBAS integrity Concept Standardised by ICAO. Application to EGNOS’.</w:t>
      </w:r>
    </w:p>
    <w:p w14:paraId="5014CF65" w14:textId="77777777" w:rsidR="00DA13B1" w:rsidRDefault="00DA13B1" w:rsidP="00DA13B1">
      <w:pPr>
        <w:pStyle w:val="Reference"/>
        <w:numPr>
          <w:ilvl w:val="0"/>
          <w:numId w:val="0"/>
        </w:numPr>
        <w:ind w:left="567" w:hanging="567"/>
      </w:pPr>
    </w:p>
    <w:p w14:paraId="1D6FED12" w14:textId="77777777" w:rsidR="00DA13B1" w:rsidRDefault="00DA13B1" w:rsidP="00DA13B1">
      <w:pPr>
        <w:pStyle w:val="Reference"/>
        <w:numPr>
          <w:ilvl w:val="0"/>
          <w:numId w:val="0"/>
        </w:numPr>
        <w:ind w:left="567" w:hanging="567"/>
      </w:pPr>
    </w:p>
    <w:p w14:paraId="69E68528" w14:textId="77777777" w:rsidR="00DA13B1" w:rsidRDefault="00DA13B1" w:rsidP="00DA13B1">
      <w:pPr>
        <w:pStyle w:val="Reference"/>
        <w:numPr>
          <w:ilvl w:val="0"/>
          <w:numId w:val="0"/>
        </w:numPr>
        <w:ind w:left="567" w:hanging="567"/>
      </w:pPr>
    </w:p>
    <w:p w14:paraId="4B8F4385" w14:textId="77777777" w:rsidR="00DA13B1" w:rsidRDefault="00DA13B1" w:rsidP="00DA13B1">
      <w:pPr>
        <w:pStyle w:val="Reference"/>
        <w:numPr>
          <w:ilvl w:val="0"/>
          <w:numId w:val="0"/>
        </w:numPr>
        <w:ind w:left="567" w:hanging="567"/>
      </w:pPr>
    </w:p>
    <w:p w14:paraId="521E260C" w14:textId="77777777" w:rsidR="00DA13B1" w:rsidRDefault="00DA13B1" w:rsidP="00DA13B1">
      <w:pPr>
        <w:pStyle w:val="Reference"/>
        <w:numPr>
          <w:ilvl w:val="0"/>
          <w:numId w:val="0"/>
        </w:numPr>
        <w:ind w:left="567" w:hanging="567"/>
      </w:pPr>
    </w:p>
    <w:p w14:paraId="69A6874E" w14:textId="77777777" w:rsidR="00DA13B1" w:rsidRDefault="00DA13B1" w:rsidP="00DA13B1">
      <w:pPr>
        <w:pStyle w:val="Reference"/>
        <w:numPr>
          <w:ilvl w:val="0"/>
          <w:numId w:val="0"/>
        </w:numPr>
        <w:ind w:left="567" w:hanging="567"/>
      </w:pPr>
    </w:p>
    <w:p w14:paraId="34A19939" w14:textId="77777777" w:rsidR="00DA13B1" w:rsidRDefault="00DA13B1" w:rsidP="00DA13B1">
      <w:pPr>
        <w:pStyle w:val="Reference"/>
        <w:numPr>
          <w:ilvl w:val="0"/>
          <w:numId w:val="0"/>
        </w:numPr>
        <w:ind w:left="567" w:hanging="567"/>
      </w:pPr>
    </w:p>
    <w:p w14:paraId="367FEA09" w14:textId="77777777" w:rsidR="00DA13B1" w:rsidRDefault="00DA13B1" w:rsidP="00DA13B1">
      <w:pPr>
        <w:pStyle w:val="Reference"/>
        <w:numPr>
          <w:ilvl w:val="0"/>
          <w:numId w:val="0"/>
        </w:numPr>
        <w:ind w:left="567" w:hanging="567"/>
      </w:pPr>
    </w:p>
    <w:p w14:paraId="64423C4D" w14:textId="77777777" w:rsidR="00DA13B1" w:rsidRDefault="00DA13B1" w:rsidP="00DA13B1">
      <w:pPr>
        <w:pStyle w:val="Reference"/>
        <w:numPr>
          <w:ilvl w:val="0"/>
          <w:numId w:val="0"/>
        </w:numPr>
        <w:ind w:left="567" w:hanging="567"/>
      </w:pPr>
    </w:p>
    <w:p w14:paraId="5C10386D" w14:textId="77777777" w:rsidR="00DA13B1" w:rsidRDefault="00DA13B1" w:rsidP="00DA13B1">
      <w:pPr>
        <w:pStyle w:val="Reference"/>
        <w:numPr>
          <w:ilvl w:val="0"/>
          <w:numId w:val="0"/>
        </w:numPr>
        <w:ind w:left="567" w:hanging="567"/>
      </w:pPr>
    </w:p>
    <w:p w14:paraId="7551A15C" w14:textId="77777777" w:rsidR="00DA13B1" w:rsidRDefault="00DA13B1" w:rsidP="00DA13B1">
      <w:pPr>
        <w:pStyle w:val="Reference"/>
        <w:numPr>
          <w:ilvl w:val="0"/>
          <w:numId w:val="0"/>
        </w:numPr>
        <w:ind w:left="567" w:hanging="567"/>
      </w:pPr>
    </w:p>
    <w:p w14:paraId="57A8389D" w14:textId="77777777" w:rsidR="00DA13B1" w:rsidRDefault="00DA13B1" w:rsidP="00DA13B1">
      <w:pPr>
        <w:pStyle w:val="Reference"/>
        <w:numPr>
          <w:ilvl w:val="0"/>
          <w:numId w:val="0"/>
        </w:numPr>
        <w:ind w:left="567" w:hanging="567"/>
      </w:pPr>
    </w:p>
    <w:p w14:paraId="6B90B1FA" w14:textId="77777777" w:rsidR="00DA13B1" w:rsidRDefault="00DA13B1" w:rsidP="00DA13B1">
      <w:pPr>
        <w:pStyle w:val="Reference"/>
        <w:numPr>
          <w:ilvl w:val="0"/>
          <w:numId w:val="0"/>
        </w:numPr>
        <w:ind w:left="567" w:hanging="567"/>
      </w:pPr>
    </w:p>
    <w:p w14:paraId="2908C6F2" w14:textId="77777777" w:rsidR="00DA13B1" w:rsidRDefault="00DA13B1" w:rsidP="00DA13B1">
      <w:pPr>
        <w:pStyle w:val="Reference"/>
        <w:numPr>
          <w:ilvl w:val="0"/>
          <w:numId w:val="0"/>
        </w:numPr>
        <w:ind w:left="567" w:hanging="567"/>
      </w:pPr>
    </w:p>
    <w:p w14:paraId="31A8C510" w14:textId="77777777" w:rsidR="00DA13B1" w:rsidRDefault="00DA13B1" w:rsidP="00DA13B1">
      <w:pPr>
        <w:pStyle w:val="Reference"/>
        <w:numPr>
          <w:ilvl w:val="0"/>
          <w:numId w:val="0"/>
        </w:numPr>
        <w:ind w:left="567" w:hanging="567"/>
      </w:pPr>
    </w:p>
    <w:p w14:paraId="49652351" w14:textId="59F780F8" w:rsidR="00DA13B1" w:rsidRDefault="00DA13B1" w:rsidP="00DA13B1">
      <w:pPr>
        <w:pStyle w:val="Annex"/>
      </w:pPr>
      <w:bookmarkStart w:id="89" w:name="_Toc336181810"/>
      <w:r w:rsidRPr="00DA13B1">
        <w:t>Performance Verification Using Short Term Measurement Data</w:t>
      </w:r>
      <w:bookmarkEnd w:id="89"/>
    </w:p>
    <w:p w14:paraId="7B6CADB2" w14:textId="3EF5020E" w:rsidR="00DA13B1" w:rsidRDefault="00DA13B1" w:rsidP="00DA13B1">
      <w:pPr>
        <w:pStyle w:val="Reference"/>
        <w:numPr>
          <w:ilvl w:val="0"/>
          <w:numId w:val="0"/>
        </w:numPr>
      </w:pPr>
      <w:r w:rsidRPr="00DA13B1">
        <w:t>It is assumed that an eLoran system has been installed, including transmitters; DLoran reference-stations; ASF maps; monitoring receivers and all associated ancillary equipment and services. Service providers will wish to determine whether the system they have installed meets their requirements; these are assumed to be (</w:t>
      </w:r>
      <w:r w:rsidRPr="002D2376">
        <w:t>Table 2</w:t>
      </w:r>
      <w:r w:rsidRPr="00DA13B1">
        <w:t xml:space="preserve"> of the main Guideline):</w:t>
      </w:r>
    </w:p>
    <w:p w14:paraId="0CFDD135" w14:textId="77777777" w:rsidR="00DA13B1" w:rsidRDefault="00DA13B1" w:rsidP="00DA13B1">
      <w:pPr>
        <w:pStyle w:val="Reference"/>
        <w:numPr>
          <w:ilvl w:val="0"/>
          <w:numId w:val="0"/>
        </w:numPr>
        <w:ind w:left="567" w:hanging="567"/>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1"/>
        <w:gridCol w:w="1432"/>
        <w:gridCol w:w="1432"/>
        <w:gridCol w:w="1431"/>
        <w:gridCol w:w="1432"/>
        <w:gridCol w:w="1432"/>
        <w:gridCol w:w="1432"/>
      </w:tblGrid>
      <w:tr w:rsidR="00F92851" w:rsidRPr="001C5060" w14:paraId="34E05FB0" w14:textId="77777777" w:rsidTr="00F92851">
        <w:trPr>
          <w:trHeight w:val="231"/>
          <w:jc w:val="center"/>
        </w:trPr>
        <w:tc>
          <w:tcPr>
            <w:tcW w:w="1431" w:type="dxa"/>
          </w:tcPr>
          <w:p w14:paraId="11DD5E52" w14:textId="6707D3B6" w:rsidR="00F92851" w:rsidRDefault="00F92851" w:rsidP="00DA13B1">
            <w:pPr>
              <w:pStyle w:val="Tableheading"/>
              <w:tabs>
                <w:tab w:val="right" w:pos="2189"/>
              </w:tabs>
            </w:pPr>
            <w:r>
              <w:t>Voyage Phase</w:t>
            </w:r>
          </w:p>
        </w:tc>
        <w:tc>
          <w:tcPr>
            <w:tcW w:w="1432" w:type="dxa"/>
          </w:tcPr>
          <w:p w14:paraId="655D4376" w14:textId="3BF97C7A" w:rsidR="00F92851" w:rsidRDefault="00F92851" w:rsidP="00DA13B1">
            <w:pPr>
              <w:pStyle w:val="Tableheading"/>
              <w:tabs>
                <w:tab w:val="right" w:pos="2189"/>
              </w:tabs>
            </w:pPr>
            <w:r w:rsidRPr="00F92851">
              <w:t>Accuracy (95%)</w:t>
            </w:r>
          </w:p>
        </w:tc>
        <w:tc>
          <w:tcPr>
            <w:tcW w:w="1432" w:type="dxa"/>
          </w:tcPr>
          <w:p w14:paraId="6ADC0C2F" w14:textId="1C377D57" w:rsidR="00F92851" w:rsidRDefault="00F92851" w:rsidP="00DA13B1">
            <w:pPr>
              <w:pStyle w:val="Tableheading"/>
              <w:tabs>
                <w:tab w:val="right" w:pos="2189"/>
              </w:tabs>
            </w:pPr>
            <w:r w:rsidRPr="00F92851">
              <w:t>Availability (%)</w:t>
            </w:r>
          </w:p>
        </w:tc>
        <w:tc>
          <w:tcPr>
            <w:tcW w:w="1431" w:type="dxa"/>
          </w:tcPr>
          <w:p w14:paraId="59B9138A" w14:textId="33116B38" w:rsidR="00F92851" w:rsidRPr="00D45F89" w:rsidRDefault="00F92851" w:rsidP="00DA13B1">
            <w:pPr>
              <w:pStyle w:val="Tableheading"/>
              <w:tabs>
                <w:tab w:val="right" w:pos="2189"/>
              </w:tabs>
            </w:pPr>
            <w:r w:rsidRPr="00F92851">
              <w:t>Continuity (% over 15 minutes)</w:t>
            </w:r>
          </w:p>
        </w:tc>
        <w:tc>
          <w:tcPr>
            <w:tcW w:w="1432" w:type="dxa"/>
          </w:tcPr>
          <w:p w14:paraId="2DE9B3CA" w14:textId="0DB21F4C" w:rsidR="00F92851" w:rsidRDefault="00F92851" w:rsidP="00DA13B1">
            <w:pPr>
              <w:pStyle w:val="Tableheading"/>
            </w:pPr>
            <w:r w:rsidRPr="00F92851">
              <w:t>Horizontal Alert Limit (HAL)</w:t>
            </w:r>
          </w:p>
        </w:tc>
        <w:tc>
          <w:tcPr>
            <w:tcW w:w="1432" w:type="dxa"/>
          </w:tcPr>
          <w:p w14:paraId="05725131" w14:textId="491BB108" w:rsidR="00F92851" w:rsidRPr="00F92851" w:rsidRDefault="00F92851" w:rsidP="00DA13B1">
            <w:pPr>
              <w:pStyle w:val="Tableheading"/>
            </w:pPr>
            <w:r w:rsidRPr="00F92851">
              <w:t>TTA</w:t>
            </w:r>
          </w:p>
        </w:tc>
        <w:tc>
          <w:tcPr>
            <w:tcW w:w="1432" w:type="dxa"/>
          </w:tcPr>
          <w:p w14:paraId="2C2F7D23" w14:textId="6E5F7012" w:rsidR="00F92851" w:rsidRPr="00D45F89" w:rsidRDefault="00F92851" w:rsidP="00DA13B1">
            <w:pPr>
              <w:pStyle w:val="Tableheading"/>
            </w:pPr>
            <w:r w:rsidRPr="00F92851">
              <w:t>Integrity Risk (%)</w:t>
            </w:r>
          </w:p>
        </w:tc>
      </w:tr>
      <w:tr w:rsidR="00F92851" w:rsidRPr="001C5060" w14:paraId="611317B9" w14:textId="77777777" w:rsidTr="00F92851">
        <w:trPr>
          <w:trHeight w:val="365"/>
          <w:jc w:val="center"/>
        </w:trPr>
        <w:tc>
          <w:tcPr>
            <w:tcW w:w="1431" w:type="dxa"/>
          </w:tcPr>
          <w:p w14:paraId="3FBCDB93" w14:textId="76BE513A" w:rsidR="00F92851" w:rsidRPr="004430EE" w:rsidRDefault="00F92851" w:rsidP="00DA13B1">
            <w:pPr>
              <w:pStyle w:val="Tabletext"/>
            </w:pPr>
            <w:r>
              <w:t>Port Approach</w:t>
            </w:r>
          </w:p>
        </w:tc>
        <w:tc>
          <w:tcPr>
            <w:tcW w:w="1432" w:type="dxa"/>
          </w:tcPr>
          <w:p w14:paraId="6C98837B" w14:textId="4C4AECAA" w:rsidR="00F92851" w:rsidRPr="004430EE" w:rsidRDefault="00F92851" w:rsidP="00DA13B1">
            <w:pPr>
              <w:pStyle w:val="Tabletext"/>
            </w:pPr>
            <w:r>
              <w:t>10m</w:t>
            </w:r>
          </w:p>
        </w:tc>
        <w:tc>
          <w:tcPr>
            <w:tcW w:w="1432" w:type="dxa"/>
          </w:tcPr>
          <w:p w14:paraId="3686CFE0" w14:textId="49E39C45" w:rsidR="00F92851" w:rsidRPr="004430EE" w:rsidRDefault="00F92851" w:rsidP="00DA13B1">
            <w:pPr>
              <w:pStyle w:val="Tabletext"/>
            </w:pPr>
            <w:r>
              <w:t>99</w:t>
            </w:r>
          </w:p>
        </w:tc>
        <w:tc>
          <w:tcPr>
            <w:tcW w:w="1431" w:type="dxa"/>
          </w:tcPr>
          <w:p w14:paraId="1EC3B0B7" w14:textId="55A341B2" w:rsidR="00F92851" w:rsidRPr="004430EE" w:rsidRDefault="00F92851" w:rsidP="00DA13B1">
            <w:pPr>
              <w:pStyle w:val="Tabletext"/>
            </w:pPr>
            <w:r>
              <w:t>99.97</w:t>
            </w:r>
          </w:p>
        </w:tc>
        <w:tc>
          <w:tcPr>
            <w:tcW w:w="1432" w:type="dxa"/>
          </w:tcPr>
          <w:p w14:paraId="02998EE9" w14:textId="10E16EFF" w:rsidR="00F92851" w:rsidRDefault="00F92851" w:rsidP="00DA13B1">
            <w:pPr>
              <w:pStyle w:val="Tabletext"/>
            </w:pPr>
            <w:r>
              <w:t>25m</w:t>
            </w:r>
          </w:p>
        </w:tc>
        <w:tc>
          <w:tcPr>
            <w:tcW w:w="1432" w:type="dxa"/>
          </w:tcPr>
          <w:p w14:paraId="080B7C66" w14:textId="4EC1F570" w:rsidR="00F92851" w:rsidRDefault="00F92851" w:rsidP="00DA13B1">
            <w:pPr>
              <w:pStyle w:val="Tabletext"/>
            </w:pPr>
            <w:r>
              <w:t>10s</w:t>
            </w:r>
          </w:p>
        </w:tc>
        <w:tc>
          <w:tcPr>
            <w:tcW w:w="1432" w:type="dxa"/>
          </w:tcPr>
          <w:p w14:paraId="545F24C9" w14:textId="0C3C8291" w:rsidR="00F92851" w:rsidRDefault="00F92851" w:rsidP="00F92851">
            <w:pPr>
              <w:pStyle w:val="Tabletext"/>
              <w:ind w:left="0"/>
            </w:pPr>
            <w:r>
              <w:t>10</w:t>
            </w:r>
            <w:r w:rsidRPr="00F92851">
              <w:rPr>
                <w:vertAlign w:val="superscript"/>
              </w:rPr>
              <w:t>-4</w:t>
            </w:r>
          </w:p>
        </w:tc>
      </w:tr>
      <w:tr w:rsidR="00F92851" w:rsidRPr="001C5060" w14:paraId="62A56181" w14:textId="77777777" w:rsidTr="00F92851">
        <w:trPr>
          <w:trHeight w:val="365"/>
          <w:jc w:val="center"/>
        </w:trPr>
        <w:tc>
          <w:tcPr>
            <w:tcW w:w="1431" w:type="dxa"/>
          </w:tcPr>
          <w:p w14:paraId="5B3469C0" w14:textId="7E3F26F6" w:rsidR="00F92851" w:rsidRPr="001C5060" w:rsidRDefault="00F92851" w:rsidP="00DA13B1">
            <w:pPr>
              <w:pStyle w:val="Tabletext"/>
            </w:pPr>
            <w:r>
              <w:t>Coastal Navigation</w:t>
            </w:r>
          </w:p>
        </w:tc>
        <w:tc>
          <w:tcPr>
            <w:tcW w:w="1432" w:type="dxa"/>
          </w:tcPr>
          <w:p w14:paraId="4CEB3850" w14:textId="739C5050" w:rsidR="00F92851" w:rsidRPr="001C5060" w:rsidRDefault="00F92851" w:rsidP="00DA13B1">
            <w:pPr>
              <w:pStyle w:val="Tabletext"/>
            </w:pPr>
            <w:r>
              <w:t>100m</w:t>
            </w:r>
          </w:p>
        </w:tc>
        <w:tc>
          <w:tcPr>
            <w:tcW w:w="1432" w:type="dxa"/>
          </w:tcPr>
          <w:p w14:paraId="5221C537" w14:textId="3BEEDD0E" w:rsidR="00F92851" w:rsidRPr="001C5060" w:rsidRDefault="00F92851" w:rsidP="00DA13B1">
            <w:pPr>
              <w:pStyle w:val="Tabletext"/>
            </w:pPr>
            <w:r>
              <w:t>99</w:t>
            </w:r>
          </w:p>
        </w:tc>
        <w:tc>
          <w:tcPr>
            <w:tcW w:w="1431" w:type="dxa"/>
          </w:tcPr>
          <w:p w14:paraId="75A84EE2" w14:textId="731C1ACF" w:rsidR="00F92851" w:rsidRPr="001C5060" w:rsidRDefault="00F92851" w:rsidP="00DA13B1">
            <w:pPr>
              <w:pStyle w:val="Tabletext"/>
            </w:pPr>
            <w:r>
              <w:t>N/A</w:t>
            </w:r>
          </w:p>
        </w:tc>
        <w:tc>
          <w:tcPr>
            <w:tcW w:w="1432" w:type="dxa"/>
          </w:tcPr>
          <w:p w14:paraId="5DF9D68C" w14:textId="0779AEFF" w:rsidR="00F92851" w:rsidRDefault="00F92851" w:rsidP="00DA13B1">
            <w:pPr>
              <w:pStyle w:val="Tabletext"/>
            </w:pPr>
            <w:r>
              <w:t>250m</w:t>
            </w:r>
          </w:p>
        </w:tc>
        <w:tc>
          <w:tcPr>
            <w:tcW w:w="1432" w:type="dxa"/>
          </w:tcPr>
          <w:p w14:paraId="2C28F263" w14:textId="01F1A494" w:rsidR="00F92851" w:rsidRDefault="00F92851" w:rsidP="00DA13B1">
            <w:pPr>
              <w:pStyle w:val="Tabletext"/>
            </w:pPr>
            <w:r>
              <w:t>10s</w:t>
            </w:r>
          </w:p>
        </w:tc>
        <w:tc>
          <w:tcPr>
            <w:tcW w:w="1432" w:type="dxa"/>
          </w:tcPr>
          <w:p w14:paraId="44754A04" w14:textId="0869B1F9" w:rsidR="00F92851" w:rsidRPr="004430EE" w:rsidRDefault="00F92851" w:rsidP="00F92851">
            <w:pPr>
              <w:pStyle w:val="Tabletext"/>
              <w:ind w:left="0"/>
            </w:pPr>
            <w:r>
              <w:t>10</w:t>
            </w:r>
            <w:r w:rsidRPr="00F92851">
              <w:rPr>
                <w:vertAlign w:val="superscript"/>
              </w:rPr>
              <w:t>-4</w:t>
            </w:r>
          </w:p>
        </w:tc>
      </w:tr>
    </w:tbl>
    <w:p w14:paraId="4C910B12" w14:textId="77777777" w:rsidR="00F92851" w:rsidRDefault="00F92851" w:rsidP="00DA13B1">
      <w:pPr>
        <w:pStyle w:val="Reference"/>
        <w:numPr>
          <w:ilvl w:val="0"/>
          <w:numId w:val="0"/>
        </w:numPr>
        <w:ind w:left="567" w:hanging="567"/>
      </w:pPr>
    </w:p>
    <w:p w14:paraId="3A12AC54" w14:textId="3FF73315" w:rsidR="00F92851" w:rsidRDefault="00F92851" w:rsidP="00F92851">
      <w:pPr>
        <w:pStyle w:val="Reference"/>
        <w:numPr>
          <w:ilvl w:val="0"/>
          <w:numId w:val="0"/>
        </w:numPr>
      </w:pPr>
      <w:r w:rsidRPr="00F92851">
        <w:t xml:space="preserve">It is assumed that </w:t>
      </w:r>
      <w:r w:rsidRPr="00F92851">
        <w:rPr>
          <w:i/>
        </w:rPr>
        <w:t>static</w:t>
      </w:r>
      <w:r w:rsidRPr="00F92851">
        <w:t xml:space="preserve"> monitor receivers have been installed at known locations within the service area of a DLoran reference-station, and therefore that nominal ASF values and local differential-corrections are available.</w:t>
      </w:r>
      <w:r>
        <w:t xml:space="preserve"> </w:t>
      </w:r>
      <w:r w:rsidRPr="00F92851">
        <w:t xml:space="preserve">It is also assumed that </w:t>
      </w:r>
      <w:r w:rsidRPr="00F92851">
        <w:rPr>
          <w:i/>
        </w:rPr>
        <w:t>dynamic</w:t>
      </w:r>
      <w:r w:rsidRPr="00F92851">
        <w:t xml:space="preserve"> monitoring receivers have been installed on vessels taking part in the performance verification and that they are sailing within the service-area of the DLoran reference-station.</w:t>
      </w:r>
      <w:r>
        <w:t xml:space="preserve"> </w:t>
      </w:r>
      <w:r w:rsidRPr="00F92851">
        <w:t>The process outlined below assumes that data is collected and processed, including eLoran position-fixing and Integrity information.</w:t>
      </w:r>
    </w:p>
    <w:p w14:paraId="38BC0111" w14:textId="77777777" w:rsidR="00634862" w:rsidRDefault="00634862" w:rsidP="00F92851">
      <w:pPr>
        <w:pStyle w:val="Reference"/>
        <w:numPr>
          <w:ilvl w:val="0"/>
          <w:numId w:val="0"/>
        </w:numPr>
      </w:pPr>
    </w:p>
    <w:p w14:paraId="096F8400" w14:textId="59CC8728" w:rsidR="00F92851" w:rsidRDefault="00634862" w:rsidP="00634862">
      <w:pPr>
        <w:pStyle w:val="Annex"/>
        <w:numPr>
          <w:ilvl w:val="1"/>
          <w:numId w:val="3"/>
        </w:numPr>
        <w:ind w:left="432"/>
        <w:rPr>
          <w:rFonts w:asciiTheme="majorHAnsi" w:hAnsiTheme="majorHAnsi"/>
          <w:i w:val="0"/>
          <w:u w:val="none"/>
        </w:rPr>
      </w:pPr>
      <w:bookmarkStart w:id="90" w:name="_Toc336181811"/>
      <w:r w:rsidRPr="00634862">
        <w:rPr>
          <w:rFonts w:asciiTheme="majorHAnsi" w:hAnsiTheme="majorHAnsi"/>
          <w:i w:val="0"/>
          <w:u w:val="none"/>
        </w:rPr>
        <w:t>Hypothesis Testing and Confidence Levels</w:t>
      </w:r>
      <w:bookmarkEnd w:id="90"/>
    </w:p>
    <w:p w14:paraId="6B246857" w14:textId="17E7F558" w:rsidR="00634862" w:rsidRDefault="00634862" w:rsidP="00634862">
      <w:pPr>
        <w:pStyle w:val="BodyText"/>
      </w:pPr>
      <w:r w:rsidRPr="00634862">
        <w:t>The service provider needs to gather some data from a monitor receiver (static or dynamic) and use it to demonstrate a particular aspect of system performance; accuracy, availability, continuity or integrity. Two potential outcomes may occur: either a particular system parameter meets its performance target, or it does not. It is not possible to know if the system actually performs to the levels required because it is only ever possible to see the short data-window that has been collected. The fact is that the system may not actually meet its targets, but by sheer chance the data collected could indicate that it does.</w:t>
      </w:r>
    </w:p>
    <w:p w14:paraId="6DD8E15E" w14:textId="77777777" w:rsidR="00634862" w:rsidRDefault="00634862" w:rsidP="00634862">
      <w:pPr>
        <w:pStyle w:val="BodyText"/>
      </w:pPr>
      <w:r>
        <w:t>Two hypotheses are defined:</w:t>
      </w:r>
    </w:p>
    <w:p w14:paraId="344AB934" w14:textId="3ECB5470" w:rsidR="00634862" w:rsidRDefault="00634862" w:rsidP="00634862">
      <w:pPr>
        <w:pStyle w:val="BodyText"/>
      </w:pPr>
      <w:r>
        <w:t>H0 = The requirement has not been met;</w:t>
      </w:r>
    </w:p>
    <w:p w14:paraId="1BDDE3D0" w14:textId="19732960" w:rsidR="00634862" w:rsidRDefault="00634862" w:rsidP="00634862">
      <w:pPr>
        <w:pStyle w:val="BodyText"/>
      </w:pPr>
      <w:r>
        <w:t>H1 = The requirement has been met.</w:t>
      </w:r>
    </w:p>
    <w:p w14:paraId="720715CC" w14:textId="49232128" w:rsidR="00634862" w:rsidRDefault="00634862" w:rsidP="00634862">
      <w:pPr>
        <w:pStyle w:val="BodyText"/>
      </w:pPr>
      <w:r w:rsidRPr="00634862">
        <w:t>To err on the side of safety, it is always assumed that the requirement has not been met.</w:t>
      </w:r>
    </w:p>
    <w:p w14:paraId="3A98F0CB" w14:textId="5FE53E1B" w:rsidR="00634862" w:rsidRDefault="00634862" w:rsidP="00634862">
      <w:pPr>
        <w:pStyle w:val="BodyText"/>
      </w:pPr>
      <w:r w:rsidRPr="00634862">
        <w:t>We call this the ‘null hypothesis’ (H0). To reject this idea and adopt the ‘alternative hypothesis’ (H1) it must be shown that the data that has been collected could not have reasonably been collected under the assumption of the null hypothesis.</w:t>
      </w:r>
    </w:p>
    <w:p w14:paraId="3E63ACF8" w14:textId="1DC8798E" w:rsidR="00634862" w:rsidRDefault="00634862" w:rsidP="00634862">
      <w:pPr>
        <w:pStyle w:val="BodyText"/>
      </w:pPr>
      <w:r w:rsidRPr="00634862">
        <w:t>The method outlined below uses the principle of assuming a confidence level, which indicates the probability that a result has been arrived at purely by chance. For example, specifying a confidence level of 2.5%, indicates that H0 is not rejected unless the probability of obtaining the sample data by pure chance is less than 2.5%.</w:t>
      </w:r>
    </w:p>
    <w:p w14:paraId="76B31FE1" w14:textId="7CF3749F" w:rsidR="00634862" w:rsidRDefault="00634862" w:rsidP="00634862">
      <w:pPr>
        <w:pStyle w:val="BodyText"/>
      </w:pPr>
      <w:r w:rsidRPr="00634862">
        <w:t>This probability is always calculated under the assumptions laid down in H0, and is based on the actual data collected, not an assumed distribution in the population.</w:t>
      </w:r>
    </w:p>
    <w:p w14:paraId="57EC14CB" w14:textId="77777777" w:rsidR="00634862" w:rsidRPr="00634862" w:rsidRDefault="00634862" w:rsidP="00634862">
      <w:pPr>
        <w:pStyle w:val="BodyText"/>
      </w:pPr>
    </w:p>
    <w:p w14:paraId="4EA62BD3" w14:textId="5F5208AB" w:rsidR="00634862" w:rsidRDefault="00634862" w:rsidP="00634862">
      <w:pPr>
        <w:pStyle w:val="Annex"/>
        <w:numPr>
          <w:ilvl w:val="1"/>
          <w:numId w:val="3"/>
        </w:numPr>
        <w:ind w:left="432"/>
        <w:rPr>
          <w:rFonts w:asciiTheme="majorHAnsi" w:hAnsiTheme="majorHAnsi"/>
          <w:u w:val="none"/>
        </w:rPr>
      </w:pPr>
      <w:bookmarkStart w:id="91" w:name="_Toc336181812"/>
      <w:r w:rsidRPr="00634862">
        <w:rPr>
          <w:rFonts w:asciiTheme="majorHAnsi" w:hAnsiTheme="majorHAnsi"/>
          <w:i w:val="0"/>
          <w:u w:val="none"/>
        </w:rPr>
        <w:t>Accuracy Verification</w:t>
      </w:r>
      <w:bookmarkEnd w:id="91"/>
      <w:r w:rsidRPr="00634862">
        <w:rPr>
          <w:rFonts w:asciiTheme="majorHAnsi" w:hAnsiTheme="majorHAnsi"/>
          <w:u w:val="none"/>
        </w:rPr>
        <w:t xml:space="preserve"> </w:t>
      </w:r>
    </w:p>
    <w:p w14:paraId="41D14077" w14:textId="77777777" w:rsidR="00634862" w:rsidRDefault="00634862" w:rsidP="00634862">
      <w:pPr>
        <w:pStyle w:val="BodyText"/>
      </w:pPr>
      <w:r>
        <w:t>Radial error is the root sum of the square of the errors in ’y’ and ’x’ co-ordinates (or Latitude and Longitude), which for eLoran we assume to be normally distributed random errors. The assumption for now is that the error is approximately circular, so the expected errors in ‘x’ and error in ‘y’ are about equal and there is no correlation between the two. The radial error follows a Rayleigh probability distribution.</w:t>
      </w:r>
    </w:p>
    <w:p w14:paraId="13A2E136" w14:textId="77777777" w:rsidR="00634862" w:rsidRDefault="00634862" w:rsidP="00634862">
      <w:pPr>
        <w:pStyle w:val="BodyText"/>
      </w:pPr>
      <w:r>
        <w:t>In navigation system analysis it is traditional to take a finite sample of position-fixes and determine their 95th percentile error. Unless mistakes have been made in measuring the data, this value should be an unbiased estimate of the 95th percentile of the Rayleigh population. The issue is that taking a finite number of measurements subjects this 95th percentile estimate to some error. It may just be that more than 95% of the sample observations happen to lie below the Rayleigh 95th percentile, and the population error has been under-estimated, or vice-versa.</w:t>
      </w:r>
    </w:p>
    <w:p w14:paraId="3E024D3D" w14:textId="04D20172" w:rsidR="00634862" w:rsidRDefault="00634862" w:rsidP="00634862">
      <w:pPr>
        <w:pStyle w:val="BodyText"/>
      </w:pPr>
      <w:r>
        <w:t>A hypothesis test is established in order to determine the significance of the sample that has been gathered. The null hypothesis is that eLoran has failed to provide sufficient accuracy, its 95% error exceeds (but only just) 10m.</w:t>
      </w:r>
    </w:p>
    <w:p w14:paraId="1B501F60" w14:textId="0EF80E42" w:rsidR="00634862" w:rsidRDefault="00634862" w:rsidP="00634862">
      <w:pPr>
        <w:pStyle w:val="BodyText"/>
      </w:pPr>
      <w:r>
        <w:t>H0: Accuracy of eLoran is just 10m (95%) (accuracy = 10m (95%) )</w:t>
      </w:r>
    </w:p>
    <w:p w14:paraId="6BD0730C" w14:textId="2099DB0A" w:rsidR="00634862" w:rsidRDefault="00634862" w:rsidP="00634862">
      <w:pPr>
        <w:pStyle w:val="BodyText"/>
      </w:pPr>
      <w:r>
        <w:t>H1: Accuracy of eLoran is better than 10m (95%) (accuracy &lt; 10m (95%) )</w:t>
      </w:r>
    </w:p>
    <w:p w14:paraId="6587D15C" w14:textId="77777777" w:rsidR="00634862" w:rsidRDefault="00634862" w:rsidP="00634862">
      <w:pPr>
        <w:spacing w:after="120"/>
        <w:rPr>
          <w:sz w:val="22"/>
        </w:rPr>
      </w:pPr>
      <w:r w:rsidRPr="00634862">
        <w:rPr>
          <w:sz w:val="22"/>
        </w:rPr>
        <w:t>Note that if it is assumed in H0 that</w:t>
      </w:r>
      <w:r>
        <w:rPr>
          <w:sz w:val="22"/>
        </w:rPr>
        <w:t xml:space="preserve"> the error is much larger than 1</w:t>
      </w:r>
      <w:r w:rsidRPr="00634862">
        <w:rPr>
          <w:sz w:val="22"/>
        </w:rPr>
        <w:t xml:space="preserve">0m (say, 30m) then significance will be easier to prove. H0 sets the conditions for a ‘fail’ </w:t>
      </w:r>
      <w:r>
        <w:rPr>
          <w:sz w:val="22"/>
        </w:rPr>
        <w:t>i.e. accuracy is not less than 1</w:t>
      </w:r>
      <w:r w:rsidRPr="00634862">
        <w:rPr>
          <w:sz w:val="22"/>
        </w:rPr>
        <w:t>0m, but makes the conservative assumption that it is as hard as possible to pro</w:t>
      </w:r>
      <w:r>
        <w:rPr>
          <w:sz w:val="22"/>
        </w:rPr>
        <w:t>ve otherwise (accuracy is just 1</w:t>
      </w:r>
      <w:r w:rsidRPr="00634862">
        <w:rPr>
          <w:sz w:val="22"/>
        </w:rPr>
        <w:t>0m, no less and not much more).</w:t>
      </w:r>
    </w:p>
    <w:p w14:paraId="47756974" w14:textId="5EC441F1" w:rsidR="00634862" w:rsidRPr="00634862" w:rsidRDefault="00634862" w:rsidP="00634862">
      <w:pPr>
        <w:spacing w:after="120"/>
        <w:rPr>
          <w:sz w:val="22"/>
        </w:rPr>
      </w:pPr>
      <w:r w:rsidRPr="00634862">
        <w:rPr>
          <w:sz w:val="22"/>
        </w:rPr>
        <w:t>H1 is accepted only if the sample 95th per</w:t>
      </w:r>
      <w:r>
        <w:rPr>
          <w:sz w:val="22"/>
        </w:rPr>
        <w:t>centile is significantly below 1</w:t>
      </w:r>
      <w:r w:rsidRPr="00634862">
        <w:rPr>
          <w:sz w:val="22"/>
        </w:rPr>
        <w:t xml:space="preserve">0m, i.e. the upper tail of the confidence bound (at, </w:t>
      </w:r>
      <w:r>
        <w:rPr>
          <w:sz w:val="22"/>
        </w:rPr>
        <w:t>say 2.5%) does not include the 1</w:t>
      </w:r>
      <w:r w:rsidRPr="00634862">
        <w:rPr>
          <w:sz w:val="22"/>
        </w:rPr>
        <w:t xml:space="preserve">0m threshold. To determine the confidence bound, first accept H0, that the </w:t>
      </w:r>
      <w:r>
        <w:rPr>
          <w:sz w:val="22"/>
        </w:rPr>
        <w:t>population 95% error is indeed 1</w:t>
      </w:r>
      <w:r w:rsidRPr="00634862">
        <w:rPr>
          <w:sz w:val="22"/>
        </w:rPr>
        <w:t>0m, and that each sample error has exactly 0</w:t>
      </w:r>
      <w:r>
        <w:rPr>
          <w:sz w:val="22"/>
        </w:rPr>
        <w:t>.95 probability of being below 1</w:t>
      </w:r>
      <w:r w:rsidRPr="00634862">
        <w:rPr>
          <w:sz w:val="22"/>
        </w:rPr>
        <w:t>0m, and 0</w:t>
      </w:r>
      <w:r>
        <w:rPr>
          <w:sz w:val="22"/>
        </w:rPr>
        <w:t>.05 probability of being above 1</w:t>
      </w:r>
      <w:r w:rsidRPr="00634862">
        <w:rPr>
          <w:sz w:val="22"/>
        </w:rPr>
        <w:t>0m. It is then</w:t>
      </w:r>
      <w:r>
        <w:rPr>
          <w:sz w:val="22"/>
        </w:rPr>
        <w:t xml:space="preserve"> required to know how many sub-1</w:t>
      </w:r>
      <w:r w:rsidRPr="00634862">
        <w:rPr>
          <w:sz w:val="22"/>
        </w:rPr>
        <w:t>0m fixes are needed before H1 is considered plausible.</w:t>
      </w:r>
    </w:p>
    <w:p w14:paraId="4974E0FB" w14:textId="531E16DD" w:rsidR="00634862" w:rsidRDefault="00220BD4" w:rsidP="00634862">
      <w:pPr>
        <w:pStyle w:val="BodyText"/>
      </w:pPr>
      <w:r w:rsidRPr="00220BD4">
        <w:t>Suppose one hour of data has been collected. This comprises 720 individual fixes (assuming 5 seconds per independent fix), and it is to be expected that the population 95th percentile error be equal to the error on the fix with the 684th smallest error. The number 684 is actually the expectation value of a Binominal distribution (each fix either lies below the 95% level with 0.95 probability, or above it with 0.05 probability).</w:t>
      </w:r>
    </w:p>
    <w:p w14:paraId="4F9928F3" w14:textId="0F9C786E" w:rsidR="00220BD4" w:rsidRPr="00220BD4" w:rsidRDefault="00220BD4" w:rsidP="00220BD4">
      <w:pPr>
        <w:pStyle w:val="BodyText"/>
      </w:pPr>
      <w:r w:rsidRPr="00220BD4">
        <w:t xml:space="preserve">The confidence bound can be calculated by integrating the Binomial distribution up to the Confidence level (one tail, 2.5%). To make this integral easier the Binominal distribution can be approximated to a Normal distribution. The number of samples here is </w:t>
      </w:r>
      <w:r w:rsidRPr="00220BD4">
        <w:rPr>
          <w:i/>
        </w:rPr>
        <w:t>n</w:t>
      </w:r>
      <w:r w:rsidRPr="00220BD4">
        <w:t xml:space="preserve">=720, and </w:t>
      </w:r>
      <w:r w:rsidRPr="00220BD4">
        <w:rPr>
          <w:i/>
        </w:rPr>
        <w:t>p</w:t>
      </w:r>
      <w:r w:rsidRPr="00220BD4">
        <w:t>=0.95, so we have:</w:t>
      </w:r>
    </w:p>
    <w:p w14:paraId="41C4D808" w14:textId="77777777" w:rsidR="00220BD4" w:rsidRPr="00220BD4" w:rsidRDefault="00220BD4" w:rsidP="00220BD4">
      <w:pPr>
        <w:rPr>
          <w:rFonts w:ascii="Arial" w:hAnsi="Arial" w:cs="Arial"/>
          <w:sz w:val="22"/>
        </w:rPr>
      </w:pPr>
      <m:oMathPara>
        <m:oMath>
          <m:r>
            <w:rPr>
              <w:rFonts w:ascii="Cambria Math" w:hAnsi="Cambria Math" w:cs="Arial"/>
              <w:sz w:val="22"/>
            </w:rPr>
            <m:t>μ=np=684</m:t>
          </m:r>
        </m:oMath>
      </m:oMathPara>
    </w:p>
    <w:p w14:paraId="37A07802" w14:textId="77777777" w:rsidR="00220BD4" w:rsidRPr="00220BD4" w:rsidRDefault="00220BD4" w:rsidP="00220BD4">
      <w:pPr>
        <w:rPr>
          <w:rFonts w:ascii="Arial" w:hAnsi="Arial" w:cs="Arial"/>
          <w:sz w:val="22"/>
        </w:rPr>
      </w:pPr>
      <m:oMathPara>
        <m:oMath>
          <m:r>
            <w:rPr>
              <w:rFonts w:ascii="Cambria Math" w:hAnsi="Cambria Math" w:cs="Arial"/>
              <w:sz w:val="22"/>
            </w:rPr>
            <m:t>σ=</m:t>
          </m:r>
          <m:rad>
            <m:radPr>
              <m:degHide m:val="1"/>
              <m:ctrlPr>
                <w:rPr>
                  <w:rFonts w:ascii="Cambria Math" w:hAnsi="Cambria Math" w:cs="Arial"/>
                  <w:i/>
                  <w:sz w:val="22"/>
                </w:rPr>
              </m:ctrlPr>
            </m:radPr>
            <m:deg/>
            <m:e>
              <m:r>
                <w:rPr>
                  <w:rFonts w:ascii="Cambria Math" w:hAnsi="Cambria Math" w:cs="Arial"/>
                  <w:sz w:val="22"/>
                </w:rPr>
                <m:t>np</m:t>
              </m:r>
              <m:d>
                <m:dPr>
                  <m:ctrlPr>
                    <w:rPr>
                      <w:rFonts w:ascii="Cambria Math" w:hAnsi="Cambria Math" w:cs="Arial"/>
                      <w:i/>
                      <w:sz w:val="22"/>
                    </w:rPr>
                  </m:ctrlPr>
                </m:dPr>
                <m:e>
                  <m:r>
                    <w:rPr>
                      <w:rFonts w:ascii="Cambria Math" w:hAnsi="Cambria Math" w:cs="Arial"/>
                      <w:sz w:val="22"/>
                    </w:rPr>
                    <m:t>1-p</m:t>
                  </m:r>
                </m:e>
              </m:d>
            </m:e>
          </m:rad>
          <m:r>
            <w:rPr>
              <w:rFonts w:ascii="Cambria Math" w:hAnsi="Cambria Math" w:cs="Arial"/>
              <w:sz w:val="22"/>
            </w:rPr>
            <m:t>=5.85</m:t>
          </m:r>
        </m:oMath>
      </m:oMathPara>
    </w:p>
    <w:p w14:paraId="2228BB0C" w14:textId="77777777" w:rsidR="00220BD4" w:rsidRPr="002E6F0C" w:rsidRDefault="00220BD4" w:rsidP="00220BD4">
      <w:pPr>
        <w:jc w:val="both"/>
        <w:rPr>
          <w:rFonts w:ascii="Arial" w:hAnsi="Arial" w:cs="Arial"/>
        </w:rPr>
      </w:pPr>
    </w:p>
    <w:p w14:paraId="14AA16C6" w14:textId="296943FC" w:rsidR="00220BD4" w:rsidRPr="00220BD4" w:rsidRDefault="00220BD4" w:rsidP="00220BD4">
      <w:pPr>
        <w:pStyle w:val="Reference"/>
        <w:numPr>
          <w:ilvl w:val="0"/>
          <w:numId w:val="0"/>
        </w:numPr>
      </w:pPr>
      <w:r w:rsidRPr="00220BD4">
        <w:t>It is poss</w:t>
      </w:r>
      <w:r>
        <w:t>ible to calculate how many sub-1</w:t>
      </w:r>
      <w:r w:rsidRPr="00220BD4">
        <w:t>0m fixes would significantly indicate H1 is true. The confidence level has been chosen at 2.5%. The one-tail integral of the Normal distribution up to 2.5% is given as 1.96-sigma, the threshold is then:</w:t>
      </w:r>
    </w:p>
    <w:p w14:paraId="07EEBBD3" w14:textId="5182B243" w:rsidR="00220BD4" w:rsidRDefault="00220BD4" w:rsidP="00220BD4">
      <w:pPr>
        <w:pStyle w:val="Reference"/>
        <w:numPr>
          <w:ilvl w:val="0"/>
          <w:numId w:val="0"/>
        </w:numPr>
      </w:pPr>
      <m:oMathPara>
        <m:oMath>
          <m:r>
            <w:rPr>
              <w:rFonts w:ascii="Cambria Math" w:hAnsi="Cambria Math" w:cs="Arial"/>
            </w:rPr>
            <m:t>μ+1.96σ=684+5.85*1.96=695.4622</m:t>
          </m:r>
        </m:oMath>
      </m:oMathPara>
    </w:p>
    <w:p w14:paraId="6CA84B2B" w14:textId="39F897CF" w:rsidR="00220BD4" w:rsidRDefault="00220BD4" w:rsidP="00220BD4">
      <w:pPr>
        <w:pStyle w:val="Reference"/>
        <w:numPr>
          <w:ilvl w:val="0"/>
          <w:numId w:val="0"/>
        </w:numPr>
      </w:pPr>
      <w:r w:rsidRPr="00220BD4">
        <w:t>Rounding up, only if the 696th smallest position erro</w:t>
      </w:r>
      <w:r>
        <w:t>r in one-hour of data is below 1</w:t>
      </w:r>
      <w:r w:rsidRPr="00220BD4">
        <w:t xml:space="preserve">0m do we accept H1. The 696th error actually corresponds to 96.7% of the one hour’s worth of data. Our significance test for a one-hour data-sample is that </w:t>
      </w:r>
      <w:r>
        <w:t>96.7% of all fixes are below 1</w:t>
      </w:r>
      <w:r w:rsidRPr="00220BD4">
        <w:t>0m. So this has made the accuracy ‘target’ harder to hit, and so the system will have to perform better than required in the hour.</w:t>
      </w:r>
    </w:p>
    <w:p w14:paraId="30467460" w14:textId="6B57D156" w:rsidR="00220BD4" w:rsidRDefault="00220BD4" w:rsidP="00220BD4">
      <w:pPr>
        <w:pStyle w:val="Reference"/>
        <w:numPr>
          <w:ilvl w:val="0"/>
          <w:numId w:val="0"/>
        </w:numPr>
      </w:pPr>
      <w:r w:rsidRPr="00220BD4">
        <w:t>If it is assumed that the sample population is Rayleigh di</w:t>
      </w:r>
      <w:r>
        <w:t>stributed, a 96.7% accuracy of 1</w:t>
      </w:r>
      <w:r w:rsidRPr="00220BD4">
        <w:t xml:space="preserve">0m actually corresponds to a population with standard-deviation </w:t>
      </w:r>
      <w:r w:rsidR="00794145">
        <w:t>3</w:t>
      </w:r>
      <w:r w:rsidR="00794145" w:rsidRPr="00794145">
        <w:t>.83</w:t>
      </w:r>
      <w:r w:rsidRPr="00794145">
        <w:t>m, and</w:t>
      </w:r>
      <w:r w:rsidRPr="00220BD4">
        <w:t xml:space="preserve"> the corresponding 95% accuracy of this population would be </w:t>
      </w:r>
      <w:r w:rsidR="00794145" w:rsidRPr="00794145">
        <w:t>9</w:t>
      </w:r>
      <w:r w:rsidRPr="00794145">
        <w:t>.</w:t>
      </w:r>
      <w:r w:rsidR="00794145" w:rsidRPr="00794145">
        <w:t>38</w:t>
      </w:r>
      <w:r w:rsidRPr="00794145">
        <w:t>m.</w:t>
      </w:r>
    </w:p>
    <w:p w14:paraId="21CD08B0" w14:textId="7F08E267" w:rsidR="00220BD4" w:rsidRDefault="00220BD4" w:rsidP="00220BD4">
      <w:pPr>
        <w:pStyle w:val="Reference"/>
        <w:numPr>
          <w:ilvl w:val="0"/>
          <w:numId w:val="0"/>
        </w:numPr>
      </w:pPr>
      <w:r w:rsidRPr="00220BD4">
        <w:t xml:space="preserve">In essence, by taking a short window of fixes (one hour) it is required to prove 95% accuracy at the </w:t>
      </w:r>
      <w:r w:rsidR="00794145">
        <w:t xml:space="preserve">9.83m </w:t>
      </w:r>
      <w:r w:rsidRPr="00220BD4">
        <w:t>level to be c</w:t>
      </w:r>
      <w:r>
        <w:t>onfident that 1</w:t>
      </w:r>
      <w:r w:rsidRPr="00220BD4">
        <w:t>0m accuracy has been demonstrated with Confidence better than 2.5%. The more data collected, the less stringent the confidence requirement is. Below is a table of the length of time for which data may be gathered showing the fix number that corresponds to 2.5% confidence, which percentile that fix number is for a Rayleigh distribution, and what the effective 95% accuracy of that sample distribution would have to be.</w:t>
      </w:r>
    </w:p>
    <w:p w14:paraId="28F6FCE1" w14:textId="65F2A0F3" w:rsidR="00041BA6" w:rsidRDefault="00220BD4" w:rsidP="00041BA6">
      <w:pPr>
        <w:pStyle w:val="Tablecaption"/>
        <w:numPr>
          <w:ilvl w:val="0"/>
          <w:numId w:val="0"/>
        </w:numPr>
        <w:ind w:left="567"/>
        <w:jc w:val="center"/>
      </w:pPr>
      <w:bookmarkStart w:id="92" w:name="_Toc336178221"/>
      <w:r>
        <w:t>Table A. 1.</w:t>
      </w:r>
      <w:r w:rsidRPr="00220BD4">
        <w:rPr>
          <w:u w:val="none"/>
        </w:rPr>
        <w:t xml:space="preserve">    </w:t>
      </w:r>
      <w:r w:rsidRPr="00220BD4">
        <w:t xml:space="preserve">Duration of measurement period versus statistical significance for effective </w:t>
      </w:r>
      <w:r w:rsidR="00472271">
        <w:t>accuracy target to demonstrate 1</w:t>
      </w:r>
      <w:r w:rsidRPr="00220BD4">
        <w:t>0m (95%) (assuming 5 seconds per fix)</w:t>
      </w:r>
      <w:bookmarkEnd w:id="92"/>
    </w:p>
    <w:tbl>
      <w:tblPr>
        <w:tblStyle w:val="TableGrid"/>
        <w:tblW w:w="0" w:type="auto"/>
        <w:jc w:val="center"/>
        <w:tblLook w:val="04A0" w:firstRow="1" w:lastRow="0" w:firstColumn="1" w:lastColumn="0" w:noHBand="0" w:noVBand="1"/>
      </w:tblPr>
      <w:tblGrid>
        <w:gridCol w:w="1862"/>
        <w:gridCol w:w="1884"/>
        <w:gridCol w:w="1962"/>
        <w:gridCol w:w="1700"/>
        <w:gridCol w:w="1700"/>
      </w:tblGrid>
      <w:tr w:rsidR="00041BA6" w:rsidRPr="002E6F0C" w14:paraId="221177C2" w14:textId="77777777" w:rsidTr="00041BA6">
        <w:trPr>
          <w:trHeight w:val="423"/>
          <w:jc w:val="center"/>
        </w:trPr>
        <w:tc>
          <w:tcPr>
            <w:tcW w:w="1862" w:type="dxa"/>
          </w:tcPr>
          <w:p w14:paraId="69FBCEE7" w14:textId="69A3C237" w:rsidR="00041BA6" w:rsidRPr="00E37EA2" w:rsidRDefault="00041BA6" w:rsidP="00E37EA2">
            <w:pPr>
              <w:keepNext/>
              <w:rPr>
                <w:rFonts w:cs="Arial"/>
                <w:b/>
                <w:color w:val="6787C4" w:themeColor="accent5"/>
                <w:sz w:val="20"/>
                <w:szCs w:val="20"/>
              </w:rPr>
            </w:pPr>
            <w:r w:rsidRPr="00E37EA2">
              <w:rPr>
                <w:rFonts w:cs="Arial"/>
                <w:b/>
                <w:color w:val="6787C4" w:themeColor="accent5"/>
                <w:sz w:val="20"/>
                <w:szCs w:val="20"/>
              </w:rPr>
              <w:t>Length of Time</w:t>
            </w:r>
            <w:r w:rsidR="00E37EA2" w:rsidRPr="00E37EA2">
              <w:rPr>
                <w:b/>
                <w:color w:val="6787C4" w:themeColor="accent5"/>
              </w:rPr>
              <w:t xml:space="preserve"> </w:t>
            </w:r>
          </w:p>
        </w:tc>
        <w:tc>
          <w:tcPr>
            <w:tcW w:w="1884" w:type="dxa"/>
          </w:tcPr>
          <w:p w14:paraId="7C3D5B8A" w14:textId="77777777" w:rsidR="00041BA6" w:rsidRPr="00E37EA2" w:rsidRDefault="00041BA6" w:rsidP="00834189">
            <w:pPr>
              <w:keepNext/>
              <w:rPr>
                <w:rFonts w:cs="Arial"/>
                <w:b/>
                <w:color w:val="6787C4" w:themeColor="accent5"/>
                <w:sz w:val="20"/>
                <w:szCs w:val="20"/>
              </w:rPr>
            </w:pPr>
            <w:r w:rsidRPr="00E37EA2">
              <w:rPr>
                <w:rFonts w:cs="Arial"/>
                <w:b/>
                <w:color w:val="6787C4" w:themeColor="accent5"/>
                <w:sz w:val="20"/>
                <w:szCs w:val="20"/>
              </w:rPr>
              <w:t>Number of Fixes</w:t>
            </w:r>
          </w:p>
        </w:tc>
        <w:tc>
          <w:tcPr>
            <w:tcW w:w="1962" w:type="dxa"/>
          </w:tcPr>
          <w:p w14:paraId="58EDC55A" w14:textId="77777777" w:rsidR="00041BA6" w:rsidRPr="00E37EA2" w:rsidRDefault="00041BA6" w:rsidP="00834189">
            <w:pPr>
              <w:keepNext/>
              <w:rPr>
                <w:rFonts w:cs="Arial"/>
                <w:b/>
                <w:color w:val="6787C4" w:themeColor="accent5"/>
                <w:sz w:val="20"/>
                <w:szCs w:val="20"/>
              </w:rPr>
            </w:pPr>
            <w:r w:rsidRPr="00E37EA2">
              <w:rPr>
                <w:rFonts w:cs="Arial"/>
                <w:b/>
                <w:color w:val="6787C4" w:themeColor="accent5"/>
                <w:sz w:val="20"/>
                <w:szCs w:val="20"/>
              </w:rPr>
              <w:t>Confidence Level</w:t>
            </w:r>
          </w:p>
        </w:tc>
        <w:tc>
          <w:tcPr>
            <w:tcW w:w="1700" w:type="dxa"/>
          </w:tcPr>
          <w:p w14:paraId="34B8F03A" w14:textId="77777777" w:rsidR="00041BA6" w:rsidRPr="00E37EA2" w:rsidRDefault="00041BA6" w:rsidP="00834189">
            <w:pPr>
              <w:keepNext/>
              <w:rPr>
                <w:rFonts w:cs="Arial"/>
                <w:b/>
                <w:color w:val="6787C4" w:themeColor="accent5"/>
                <w:sz w:val="20"/>
                <w:szCs w:val="20"/>
              </w:rPr>
            </w:pPr>
            <w:r w:rsidRPr="00E37EA2">
              <w:rPr>
                <w:rFonts w:cs="Arial"/>
                <w:b/>
                <w:color w:val="6787C4" w:themeColor="accent5"/>
                <w:sz w:val="20"/>
                <w:szCs w:val="20"/>
              </w:rPr>
              <w:t>Effective Percentile</w:t>
            </w:r>
          </w:p>
        </w:tc>
        <w:tc>
          <w:tcPr>
            <w:tcW w:w="1700" w:type="dxa"/>
          </w:tcPr>
          <w:p w14:paraId="35E4B571" w14:textId="77777777" w:rsidR="00041BA6" w:rsidRPr="00E37EA2" w:rsidRDefault="00041BA6" w:rsidP="00834189">
            <w:pPr>
              <w:keepNext/>
              <w:rPr>
                <w:rFonts w:cs="Arial"/>
                <w:b/>
                <w:color w:val="6787C4" w:themeColor="accent5"/>
                <w:sz w:val="20"/>
                <w:szCs w:val="20"/>
              </w:rPr>
            </w:pPr>
            <w:r w:rsidRPr="00E37EA2">
              <w:rPr>
                <w:rFonts w:cs="Arial"/>
                <w:b/>
                <w:color w:val="6787C4" w:themeColor="accent5"/>
                <w:sz w:val="20"/>
                <w:szCs w:val="20"/>
              </w:rPr>
              <w:t>Effective Accuracy Target</w:t>
            </w:r>
          </w:p>
        </w:tc>
      </w:tr>
      <w:tr w:rsidR="00794145" w:rsidRPr="002E6F0C" w14:paraId="396BFA01" w14:textId="77777777" w:rsidTr="00041BA6">
        <w:trPr>
          <w:trHeight w:val="211"/>
          <w:jc w:val="center"/>
        </w:trPr>
        <w:tc>
          <w:tcPr>
            <w:tcW w:w="1862" w:type="dxa"/>
          </w:tcPr>
          <w:p w14:paraId="132C20CD" w14:textId="77777777" w:rsidR="00794145" w:rsidRPr="00E37EA2" w:rsidRDefault="00794145" w:rsidP="00794145">
            <w:pPr>
              <w:keepNext/>
              <w:rPr>
                <w:rFonts w:cs="Arial"/>
                <w:sz w:val="20"/>
                <w:szCs w:val="20"/>
              </w:rPr>
            </w:pPr>
            <w:r w:rsidRPr="00E37EA2">
              <w:rPr>
                <w:rFonts w:cs="Arial"/>
                <w:sz w:val="20"/>
                <w:szCs w:val="20"/>
              </w:rPr>
              <w:t>1 hour</w:t>
            </w:r>
          </w:p>
        </w:tc>
        <w:tc>
          <w:tcPr>
            <w:tcW w:w="1884" w:type="dxa"/>
          </w:tcPr>
          <w:p w14:paraId="1EF30B5A" w14:textId="77777777" w:rsidR="00794145" w:rsidRPr="00E37EA2" w:rsidRDefault="00794145" w:rsidP="00794145">
            <w:pPr>
              <w:keepNext/>
              <w:rPr>
                <w:rFonts w:cs="Arial"/>
                <w:sz w:val="20"/>
                <w:szCs w:val="20"/>
              </w:rPr>
            </w:pPr>
            <w:r w:rsidRPr="00E37EA2">
              <w:rPr>
                <w:rFonts w:cs="Arial"/>
                <w:sz w:val="20"/>
                <w:szCs w:val="20"/>
              </w:rPr>
              <w:t>720</w:t>
            </w:r>
          </w:p>
        </w:tc>
        <w:tc>
          <w:tcPr>
            <w:tcW w:w="1962" w:type="dxa"/>
          </w:tcPr>
          <w:p w14:paraId="6D073BFB" w14:textId="77777777" w:rsidR="00794145" w:rsidRPr="00E37EA2" w:rsidRDefault="00794145" w:rsidP="00794145">
            <w:pPr>
              <w:keepNext/>
              <w:rPr>
                <w:rFonts w:cs="Arial"/>
                <w:sz w:val="20"/>
                <w:szCs w:val="20"/>
              </w:rPr>
            </w:pPr>
            <w:r w:rsidRPr="00E37EA2">
              <w:rPr>
                <w:rFonts w:cs="Arial"/>
                <w:sz w:val="20"/>
                <w:szCs w:val="20"/>
              </w:rPr>
              <w:t>696</w:t>
            </w:r>
          </w:p>
        </w:tc>
        <w:tc>
          <w:tcPr>
            <w:tcW w:w="1700" w:type="dxa"/>
          </w:tcPr>
          <w:p w14:paraId="4995068B" w14:textId="77777777" w:rsidR="00794145" w:rsidRPr="00E37EA2" w:rsidRDefault="00794145" w:rsidP="00794145">
            <w:pPr>
              <w:keepNext/>
              <w:rPr>
                <w:rFonts w:cs="Arial"/>
                <w:sz w:val="20"/>
                <w:szCs w:val="20"/>
              </w:rPr>
            </w:pPr>
            <w:r w:rsidRPr="00E37EA2">
              <w:rPr>
                <w:rFonts w:cs="Arial"/>
                <w:sz w:val="20"/>
                <w:szCs w:val="20"/>
              </w:rPr>
              <w:t>96.7%</w:t>
            </w:r>
          </w:p>
        </w:tc>
        <w:tc>
          <w:tcPr>
            <w:tcW w:w="1700" w:type="dxa"/>
          </w:tcPr>
          <w:p w14:paraId="7528CDCC" w14:textId="141FE6FF" w:rsidR="00794145" w:rsidRPr="00E37EA2" w:rsidRDefault="00794145" w:rsidP="00794145">
            <w:pPr>
              <w:keepNext/>
              <w:rPr>
                <w:rFonts w:cs="Arial"/>
                <w:sz w:val="20"/>
                <w:szCs w:val="20"/>
                <w:highlight w:val="yellow"/>
              </w:rPr>
            </w:pPr>
            <w:r w:rsidRPr="00864DB6">
              <w:rPr>
                <w:rFonts w:ascii="Arial" w:hAnsi="Arial" w:cs="Arial"/>
              </w:rPr>
              <w:t>9.38m</w:t>
            </w:r>
          </w:p>
        </w:tc>
      </w:tr>
      <w:tr w:rsidR="00794145" w:rsidRPr="002E6F0C" w14:paraId="28061F87" w14:textId="77777777" w:rsidTr="00041BA6">
        <w:trPr>
          <w:trHeight w:val="211"/>
          <w:jc w:val="center"/>
        </w:trPr>
        <w:tc>
          <w:tcPr>
            <w:tcW w:w="1862" w:type="dxa"/>
          </w:tcPr>
          <w:p w14:paraId="7E62CB9B" w14:textId="77777777" w:rsidR="00794145" w:rsidRPr="00E37EA2" w:rsidRDefault="00794145" w:rsidP="00794145">
            <w:pPr>
              <w:keepNext/>
              <w:rPr>
                <w:rFonts w:cs="Arial"/>
                <w:sz w:val="20"/>
                <w:szCs w:val="20"/>
              </w:rPr>
            </w:pPr>
            <w:r w:rsidRPr="00E37EA2">
              <w:rPr>
                <w:rFonts w:cs="Arial"/>
                <w:sz w:val="20"/>
                <w:szCs w:val="20"/>
              </w:rPr>
              <w:t>2 hours</w:t>
            </w:r>
          </w:p>
        </w:tc>
        <w:tc>
          <w:tcPr>
            <w:tcW w:w="1884" w:type="dxa"/>
          </w:tcPr>
          <w:p w14:paraId="2F29F1F2" w14:textId="77777777" w:rsidR="00794145" w:rsidRPr="00E37EA2" w:rsidRDefault="00794145" w:rsidP="00794145">
            <w:pPr>
              <w:keepNext/>
              <w:rPr>
                <w:rFonts w:cs="Arial"/>
                <w:sz w:val="20"/>
                <w:szCs w:val="20"/>
              </w:rPr>
            </w:pPr>
            <w:r w:rsidRPr="00E37EA2">
              <w:rPr>
                <w:rFonts w:cs="Arial"/>
                <w:sz w:val="20"/>
                <w:szCs w:val="20"/>
              </w:rPr>
              <w:t>1440</w:t>
            </w:r>
          </w:p>
        </w:tc>
        <w:tc>
          <w:tcPr>
            <w:tcW w:w="1962" w:type="dxa"/>
          </w:tcPr>
          <w:p w14:paraId="77339578" w14:textId="77777777" w:rsidR="00794145" w:rsidRPr="00E37EA2" w:rsidRDefault="00794145" w:rsidP="00794145">
            <w:pPr>
              <w:keepNext/>
              <w:rPr>
                <w:rFonts w:cs="Arial"/>
                <w:sz w:val="20"/>
                <w:szCs w:val="20"/>
              </w:rPr>
            </w:pPr>
            <w:r w:rsidRPr="00E37EA2">
              <w:rPr>
                <w:rFonts w:cs="Arial"/>
                <w:sz w:val="20"/>
                <w:szCs w:val="20"/>
              </w:rPr>
              <w:t>1384</w:t>
            </w:r>
          </w:p>
        </w:tc>
        <w:tc>
          <w:tcPr>
            <w:tcW w:w="1700" w:type="dxa"/>
          </w:tcPr>
          <w:p w14:paraId="10FA2484" w14:textId="77777777" w:rsidR="00794145" w:rsidRPr="00E37EA2" w:rsidRDefault="00794145" w:rsidP="00794145">
            <w:pPr>
              <w:keepNext/>
              <w:rPr>
                <w:rFonts w:cs="Arial"/>
                <w:sz w:val="20"/>
                <w:szCs w:val="20"/>
              </w:rPr>
            </w:pPr>
            <w:r w:rsidRPr="00E37EA2">
              <w:rPr>
                <w:rFonts w:cs="Arial"/>
                <w:sz w:val="20"/>
                <w:szCs w:val="20"/>
              </w:rPr>
              <w:t>96.12%</w:t>
            </w:r>
          </w:p>
        </w:tc>
        <w:tc>
          <w:tcPr>
            <w:tcW w:w="1700" w:type="dxa"/>
          </w:tcPr>
          <w:p w14:paraId="6757A29C" w14:textId="00733336" w:rsidR="00794145" w:rsidRPr="00E37EA2" w:rsidRDefault="00794145" w:rsidP="00794145">
            <w:pPr>
              <w:keepNext/>
              <w:rPr>
                <w:rFonts w:cs="Arial"/>
                <w:sz w:val="20"/>
                <w:szCs w:val="20"/>
                <w:highlight w:val="yellow"/>
              </w:rPr>
            </w:pPr>
            <w:r>
              <w:rPr>
                <w:rFonts w:ascii="Arial" w:hAnsi="Arial" w:cs="Arial"/>
              </w:rPr>
              <w:t>9.60</w:t>
            </w:r>
            <w:r w:rsidRPr="002E6F0C">
              <w:rPr>
                <w:rFonts w:ascii="Arial" w:hAnsi="Arial" w:cs="Arial"/>
              </w:rPr>
              <w:t>m</w:t>
            </w:r>
          </w:p>
        </w:tc>
      </w:tr>
      <w:tr w:rsidR="00794145" w:rsidRPr="002E6F0C" w14:paraId="2C5539A3" w14:textId="77777777" w:rsidTr="00041BA6">
        <w:trPr>
          <w:trHeight w:val="211"/>
          <w:jc w:val="center"/>
        </w:trPr>
        <w:tc>
          <w:tcPr>
            <w:tcW w:w="1862" w:type="dxa"/>
          </w:tcPr>
          <w:p w14:paraId="0DF44441" w14:textId="77777777" w:rsidR="00794145" w:rsidRPr="00E37EA2" w:rsidRDefault="00794145" w:rsidP="00794145">
            <w:pPr>
              <w:keepNext/>
              <w:rPr>
                <w:rFonts w:cs="Arial"/>
                <w:sz w:val="20"/>
                <w:szCs w:val="20"/>
              </w:rPr>
            </w:pPr>
            <w:r w:rsidRPr="00E37EA2">
              <w:rPr>
                <w:rFonts w:cs="Arial"/>
                <w:sz w:val="20"/>
                <w:szCs w:val="20"/>
              </w:rPr>
              <w:t>6 hours</w:t>
            </w:r>
          </w:p>
        </w:tc>
        <w:tc>
          <w:tcPr>
            <w:tcW w:w="1884" w:type="dxa"/>
          </w:tcPr>
          <w:p w14:paraId="6EEB2CA7" w14:textId="77777777" w:rsidR="00794145" w:rsidRPr="00E37EA2" w:rsidRDefault="00794145" w:rsidP="00794145">
            <w:pPr>
              <w:keepNext/>
              <w:rPr>
                <w:rFonts w:cs="Arial"/>
                <w:sz w:val="20"/>
                <w:szCs w:val="20"/>
              </w:rPr>
            </w:pPr>
            <w:r w:rsidRPr="00E37EA2">
              <w:rPr>
                <w:rFonts w:cs="Arial"/>
                <w:sz w:val="20"/>
                <w:szCs w:val="20"/>
              </w:rPr>
              <w:t>4320</w:t>
            </w:r>
          </w:p>
        </w:tc>
        <w:tc>
          <w:tcPr>
            <w:tcW w:w="1962" w:type="dxa"/>
          </w:tcPr>
          <w:p w14:paraId="4F1D07F7" w14:textId="77777777" w:rsidR="00794145" w:rsidRPr="00E37EA2" w:rsidRDefault="00794145" w:rsidP="00794145">
            <w:pPr>
              <w:keepNext/>
              <w:rPr>
                <w:rFonts w:cs="Arial"/>
                <w:sz w:val="20"/>
                <w:szCs w:val="20"/>
              </w:rPr>
            </w:pPr>
            <w:r w:rsidRPr="00E37EA2">
              <w:rPr>
                <w:rFonts w:cs="Arial"/>
                <w:sz w:val="20"/>
                <w:szCs w:val="20"/>
              </w:rPr>
              <w:t>4132</w:t>
            </w:r>
          </w:p>
        </w:tc>
        <w:tc>
          <w:tcPr>
            <w:tcW w:w="1700" w:type="dxa"/>
          </w:tcPr>
          <w:p w14:paraId="27C76DF7" w14:textId="77777777" w:rsidR="00794145" w:rsidRPr="00E37EA2" w:rsidRDefault="00794145" w:rsidP="00794145">
            <w:pPr>
              <w:keepNext/>
              <w:rPr>
                <w:rFonts w:cs="Arial"/>
                <w:sz w:val="20"/>
                <w:szCs w:val="20"/>
              </w:rPr>
            </w:pPr>
            <w:r w:rsidRPr="00E37EA2">
              <w:rPr>
                <w:rFonts w:cs="Arial"/>
                <w:sz w:val="20"/>
                <w:szCs w:val="20"/>
              </w:rPr>
              <w:t>95.65%</w:t>
            </w:r>
          </w:p>
        </w:tc>
        <w:tc>
          <w:tcPr>
            <w:tcW w:w="1700" w:type="dxa"/>
          </w:tcPr>
          <w:p w14:paraId="28D27167" w14:textId="792293AF" w:rsidR="00794145" w:rsidRPr="00E37EA2" w:rsidRDefault="00794145" w:rsidP="00794145">
            <w:pPr>
              <w:keepNext/>
              <w:rPr>
                <w:rFonts w:cs="Arial"/>
                <w:sz w:val="20"/>
                <w:szCs w:val="20"/>
                <w:highlight w:val="yellow"/>
              </w:rPr>
            </w:pPr>
            <w:r>
              <w:rPr>
                <w:rFonts w:ascii="Arial" w:hAnsi="Arial" w:cs="Arial"/>
              </w:rPr>
              <w:t>9.78</w:t>
            </w:r>
            <w:r w:rsidRPr="002E6F0C">
              <w:rPr>
                <w:rFonts w:ascii="Arial" w:hAnsi="Arial" w:cs="Arial"/>
              </w:rPr>
              <w:t>m</w:t>
            </w:r>
          </w:p>
        </w:tc>
      </w:tr>
      <w:tr w:rsidR="00794145" w:rsidRPr="002E6F0C" w14:paraId="159159B1" w14:textId="77777777" w:rsidTr="00041BA6">
        <w:trPr>
          <w:trHeight w:val="211"/>
          <w:jc w:val="center"/>
        </w:trPr>
        <w:tc>
          <w:tcPr>
            <w:tcW w:w="1862" w:type="dxa"/>
          </w:tcPr>
          <w:p w14:paraId="5C90E50D" w14:textId="77777777" w:rsidR="00794145" w:rsidRPr="00E37EA2" w:rsidRDefault="00794145" w:rsidP="00794145">
            <w:pPr>
              <w:keepNext/>
              <w:rPr>
                <w:rFonts w:cs="Arial"/>
                <w:sz w:val="20"/>
                <w:szCs w:val="20"/>
              </w:rPr>
            </w:pPr>
            <w:r w:rsidRPr="00E37EA2">
              <w:rPr>
                <w:rFonts w:cs="Arial"/>
                <w:sz w:val="20"/>
                <w:szCs w:val="20"/>
              </w:rPr>
              <w:t>12 hours</w:t>
            </w:r>
          </w:p>
        </w:tc>
        <w:tc>
          <w:tcPr>
            <w:tcW w:w="1884" w:type="dxa"/>
          </w:tcPr>
          <w:p w14:paraId="3DAFFE76" w14:textId="77777777" w:rsidR="00794145" w:rsidRPr="00E37EA2" w:rsidRDefault="00794145" w:rsidP="00794145">
            <w:pPr>
              <w:keepNext/>
              <w:rPr>
                <w:rFonts w:cs="Arial"/>
                <w:sz w:val="20"/>
                <w:szCs w:val="20"/>
              </w:rPr>
            </w:pPr>
            <w:r w:rsidRPr="00E37EA2">
              <w:rPr>
                <w:rFonts w:cs="Arial"/>
                <w:sz w:val="20"/>
                <w:szCs w:val="20"/>
              </w:rPr>
              <w:t>8640</w:t>
            </w:r>
          </w:p>
        </w:tc>
        <w:tc>
          <w:tcPr>
            <w:tcW w:w="1962" w:type="dxa"/>
          </w:tcPr>
          <w:p w14:paraId="23C1CD6F" w14:textId="77777777" w:rsidR="00794145" w:rsidRPr="00E37EA2" w:rsidRDefault="00794145" w:rsidP="00794145">
            <w:pPr>
              <w:keepNext/>
              <w:rPr>
                <w:rFonts w:cs="Arial"/>
                <w:sz w:val="20"/>
                <w:szCs w:val="20"/>
              </w:rPr>
            </w:pPr>
            <w:r w:rsidRPr="00E37EA2">
              <w:rPr>
                <w:rFonts w:cs="Arial"/>
                <w:sz w:val="20"/>
                <w:szCs w:val="20"/>
              </w:rPr>
              <w:t>8248</w:t>
            </w:r>
          </w:p>
        </w:tc>
        <w:tc>
          <w:tcPr>
            <w:tcW w:w="1700" w:type="dxa"/>
          </w:tcPr>
          <w:p w14:paraId="5CF2E99F" w14:textId="77777777" w:rsidR="00794145" w:rsidRPr="00E37EA2" w:rsidRDefault="00794145" w:rsidP="00794145">
            <w:pPr>
              <w:keepNext/>
              <w:rPr>
                <w:rFonts w:cs="Arial"/>
                <w:sz w:val="20"/>
                <w:szCs w:val="20"/>
              </w:rPr>
            </w:pPr>
            <w:r w:rsidRPr="00E37EA2">
              <w:rPr>
                <w:rFonts w:cs="Arial"/>
                <w:sz w:val="20"/>
                <w:szCs w:val="20"/>
              </w:rPr>
              <w:t>95.46%</w:t>
            </w:r>
          </w:p>
        </w:tc>
        <w:tc>
          <w:tcPr>
            <w:tcW w:w="1700" w:type="dxa"/>
          </w:tcPr>
          <w:p w14:paraId="6DF971D8" w14:textId="1C2D9137" w:rsidR="00794145" w:rsidRPr="00E37EA2" w:rsidRDefault="00794145" w:rsidP="00794145">
            <w:pPr>
              <w:keepNext/>
              <w:rPr>
                <w:rFonts w:cs="Arial"/>
                <w:sz w:val="20"/>
                <w:szCs w:val="20"/>
                <w:highlight w:val="yellow"/>
              </w:rPr>
            </w:pPr>
            <w:r>
              <w:rPr>
                <w:rFonts w:ascii="Arial" w:hAnsi="Arial" w:cs="Arial"/>
              </w:rPr>
              <w:t>9.85</w:t>
            </w:r>
            <w:r w:rsidRPr="002E6F0C">
              <w:rPr>
                <w:rFonts w:ascii="Arial" w:hAnsi="Arial" w:cs="Arial"/>
              </w:rPr>
              <w:t>m</w:t>
            </w:r>
          </w:p>
        </w:tc>
      </w:tr>
      <w:tr w:rsidR="00794145" w:rsidRPr="002E6F0C" w14:paraId="4216D3C5" w14:textId="77777777" w:rsidTr="00041BA6">
        <w:trPr>
          <w:trHeight w:val="211"/>
          <w:jc w:val="center"/>
        </w:trPr>
        <w:tc>
          <w:tcPr>
            <w:tcW w:w="1862" w:type="dxa"/>
          </w:tcPr>
          <w:p w14:paraId="042A9646" w14:textId="77777777" w:rsidR="00794145" w:rsidRPr="00E37EA2" w:rsidRDefault="00794145" w:rsidP="00794145">
            <w:pPr>
              <w:keepNext/>
              <w:rPr>
                <w:rFonts w:cs="Arial"/>
                <w:sz w:val="20"/>
                <w:szCs w:val="20"/>
              </w:rPr>
            </w:pPr>
            <w:r w:rsidRPr="00E37EA2">
              <w:rPr>
                <w:rFonts w:cs="Arial"/>
                <w:sz w:val="20"/>
                <w:szCs w:val="20"/>
              </w:rPr>
              <w:t>24 hours</w:t>
            </w:r>
          </w:p>
        </w:tc>
        <w:tc>
          <w:tcPr>
            <w:tcW w:w="1884" w:type="dxa"/>
          </w:tcPr>
          <w:p w14:paraId="70D3AD08" w14:textId="77777777" w:rsidR="00794145" w:rsidRPr="00E37EA2" w:rsidRDefault="00794145" w:rsidP="00794145">
            <w:pPr>
              <w:keepNext/>
              <w:rPr>
                <w:rFonts w:cs="Arial"/>
                <w:sz w:val="20"/>
                <w:szCs w:val="20"/>
              </w:rPr>
            </w:pPr>
            <w:r w:rsidRPr="00E37EA2">
              <w:rPr>
                <w:rFonts w:cs="Arial"/>
                <w:sz w:val="20"/>
                <w:szCs w:val="20"/>
              </w:rPr>
              <w:t>17280</w:t>
            </w:r>
          </w:p>
        </w:tc>
        <w:tc>
          <w:tcPr>
            <w:tcW w:w="1962" w:type="dxa"/>
          </w:tcPr>
          <w:p w14:paraId="03A1EF31" w14:textId="77777777" w:rsidR="00794145" w:rsidRPr="00E37EA2" w:rsidRDefault="00794145" w:rsidP="00794145">
            <w:pPr>
              <w:keepNext/>
              <w:rPr>
                <w:rFonts w:cs="Arial"/>
                <w:sz w:val="20"/>
                <w:szCs w:val="20"/>
              </w:rPr>
            </w:pPr>
            <w:r w:rsidRPr="00E37EA2">
              <w:rPr>
                <w:rFonts w:cs="Arial"/>
                <w:sz w:val="20"/>
                <w:szCs w:val="20"/>
              </w:rPr>
              <w:t>16472</w:t>
            </w:r>
          </w:p>
        </w:tc>
        <w:tc>
          <w:tcPr>
            <w:tcW w:w="1700" w:type="dxa"/>
          </w:tcPr>
          <w:p w14:paraId="7661D1D6" w14:textId="77777777" w:rsidR="00794145" w:rsidRPr="00E37EA2" w:rsidRDefault="00794145" w:rsidP="00794145">
            <w:pPr>
              <w:keepNext/>
              <w:rPr>
                <w:rFonts w:cs="Arial"/>
                <w:sz w:val="20"/>
                <w:szCs w:val="20"/>
              </w:rPr>
            </w:pPr>
            <w:r w:rsidRPr="00E37EA2">
              <w:rPr>
                <w:rFonts w:cs="Arial"/>
                <w:sz w:val="20"/>
                <w:szCs w:val="20"/>
              </w:rPr>
              <w:t>95.32%</w:t>
            </w:r>
          </w:p>
        </w:tc>
        <w:tc>
          <w:tcPr>
            <w:tcW w:w="1700" w:type="dxa"/>
          </w:tcPr>
          <w:p w14:paraId="21BBF0EF" w14:textId="02B244E4" w:rsidR="00794145" w:rsidRPr="00E37EA2" w:rsidRDefault="00794145" w:rsidP="00794145">
            <w:pPr>
              <w:keepNext/>
              <w:rPr>
                <w:rFonts w:cs="Arial"/>
                <w:sz w:val="20"/>
                <w:szCs w:val="20"/>
                <w:highlight w:val="yellow"/>
              </w:rPr>
            </w:pPr>
            <w:r>
              <w:rPr>
                <w:rFonts w:ascii="Arial" w:hAnsi="Arial" w:cs="Arial"/>
              </w:rPr>
              <w:t>9.90</w:t>
            </w:r>
            <w:r w:rsidRPr="002E6F0C">
              <w:rPr>
                <w:rFonts w:ascii="Arial" w:hAnsi="Arial" w:cs="Arial"/>
              </w:rPr>
              <w:t>m</w:t>
            </w:r>
          </w:p>
        </w:tc>
      </w:tr>
      <w:tr w:rsidR="00472271" w:rsidRPr="002E6F0C" w14:paraId="696CA591" w14:textId="77777777" w:rsidTr="00041BA6">
        <w:trPr>
          <w:trHeight w:val="211"/>
          <w:jc w:val="center"/>
        </w:trPr>
        <w:tc>
          <w:tcPr>
            <w:tcW w:w="1862" w:type="dxa"/>
          </w:tcPr>
          <w:p w14:paraId="52D9F76A" w14:textId="77777777" w:rsidR="00472271" w:rsidRPr="00E37EA2" w:rsidRDefault="00472271" w:rsidP="00472271">
            <w:pPr>
              <w:keepNext/>
              <w:rPr>
                <w:rFonts w:cs="Arial"/>
                <w:sz w:val="20"/>
                <w:szCs w:val="20"/>
              </w:rPr>
            </w:pPr>
            <w:r w:rsidRPr="00E37EA2">
              <w:rPr>
                <w:rFonts w:cs="Arial"/>
                <w:sz w:val="20"/>
                <w:szCs w:val="20"/>
              </w:rPr>
              <w:t>7 days</w:t>
            </w:r>
          </w:p>
        </w:tc>
        <w:tc>
          <w:tcPr>
            <w:tcW w:w="1884" w:type="dxa"/>
          </w:tcPr>
          <w:p w14:paraId="0EF56CDC" w14:textId="77777777" w:rsidR="00472271" w:rsidRPr="00E37EA2" w:rsidRDefault="00472271" w:rsidP="00472271">
            <w:pPr>
              <w:keepNext/>
              <w:rPr>
                <w:rFonts w:cs="Arial"/>
                <w:sz w:val="20"/>
                <w:szCs w:val="20"/>
              </w:rPr>
            </w:pPr>
            <w:r w:rsidRPr="00E37EA2">
              <w:rPr>
                <w:rFonts w:cs="Arial"/>
                <w:sz w:val="20"/>
                <w:szCs w:val="20"/>
              </w:rPr>
              <w:t>120960</w:t>
            </w:r>
          </w:p>
        </w:tc>
        <w:tc>
          <w:tcPr>
            <w:tcW w:w="1962" w:type="dxa"/>
          </w:tcPr>
          <w:p w14:paraId="785DF51B" w14:textId="77777777" w:rsidR="00472271" w:rsidRPr="00E37EA2" w:rsidRDefault="00472271" w:rsidP="00472271">
            <w:pPr>
              <w:keepNext/>
              <w:rPr>
                <w:rFonts w:cs="Arial"/>
                <w:sz w:val="20"/>
                <w:szCs w:val="20"/>
              </w:rPr>
            </w:pPr>
            <w:r w:rsidRPr="00E37EA2">
              <w:rPr>
                <w:rFonts w:cs="Arial"/>
                <w:sz w:val="20"/>
                <w:szCs w:val="20"/>
              </w:rPr>
              <w:t>115061</w:t>
            </w:r>
          </w:p>
        </w:tc>
        <w:tc>
          <w:tcPr>
            <w:tcW w:w="1700" w:type="dxa"/>
          </w:tcPr>
          <w:p w14:paraId="47910E0F" w14:textId="77777777" w:rsidR="00472271" w:rsidRPr="00E37EA2" w:rsidRDefault="00472271" w:rsidP="00472271">
            <w:pPr>
              <w:keepNext/>
              <w:rPr>
                <w:rFonts w:cs="Arial"/>
                <w:sz w:val="20"/>
                <w:szCs w:val="20"/>
              </w:rPr>
            </w:pPr>
            <w:r w:rsidRPr="00E37EA2">
              <w:rPr>
                <w:rFonts w:cs="Arial"/>
                <w:sz w:val="20"/>
                <w:szCs w:val="20"/>
              </w:rPr>
              <w:t>95.12%</w:t>
            </w:r>
          </w:p>
        </w:tc>
        <w:tc>
          <w:tcPr>
            <w:tcW w:w="1700" w:type="dxa"/>
          </w:tcPr>
          <w:p w14:paraId="22D53C07" w14:textId="352C2434" w:rsidR="00472271" w:rsidRPr="00E37EA2" w:rsidRDefault="00472271" w:rsidP="00472271">
            <w:pPr>
              <w:keepNext/>
              <w:rPr>
                <w:rFonts w:cs="Arial"/>
                <w:sz w:val="20"/>
                <w:szCs w:val="20"/>
                <w:highlight w:val="yellow"/>
              </w:rPr>
            </w:pPr>
            <w:r>
              <w:rPr>
                <w:rFonts w:ascii="Arial" w:hAnsi="Arial" w:cs="Arial"/>
              </w:rPr>
              <w:t>9.96</w:t>
            </w:r>
            <w:r w:rsidRPr="002E6F0C">
              <w:rPr>
                <w:rFonts w:ascii="Arial" w:hAnsi="Arial" w:cs="Arial"/>
              </w:rPr>
              <w:t>m</w:t>
            </w:r>
          </w:p>
        </w:tc>
      </w:tr>
      <w:tr w:rsidR="00472271" w:rsidRPr="002E6F0C" w14:paraId="566DB967" w14:textId="77777777" w:rsidTr="00041BA6">
        <w:trPr>
          <w:trHeight w:val="211"/>
          <w:jc w:val="center"/>
        </w:trPr>
        <w:tc>
          <w:tcPr>
            <w:tcW w:w="1862" w:type="dxa"/>
          </w:tcPr>
          <w:p w14:paraId="0818A164" w14:textId="77777777" w:rsidR="00472271" w:rsidRPr="00E37EA2" w:rsidRDefault="00472271" w:rsidP="00472271">
            <w:pPr>
              <w:keepNext/>
              <w:rPr>
                <w:rFonts w:cs="Arial"/>
                <w:sz w:val="20"/>
                <w:szCs w:val="20"/>
              </w:rPr>
            </w:pPr>
            <w:r w:rsidRPr="00E37EA2">
              <w:rPr>
                <w:rFonts w:cs="Arial"/>
                <w:sz w:val="20"/>
                <w:szCs w:val="20"/>
              </w:rPr>
              <w:t>30 days</w:t>
            </w:r>
          </w:p>
        </w:tc>
        <w:tc>
          <w:tcPr>
            <w:tcW w:w="1884" w:type="dxa"/>
          </w:tcPr>
          <w:p w14:paraId="33F43A84" w14:textId="77777777" w:rsidR="00472271" w:rsidRPr="00E37EA2" w:rsidRDefault="00472271" w:rsidP="00472271">
            <w:pPr>
              <w:keepNext/>
              <w:rPr>
                <w:rFonts w:cs="Arial"/>
                <w:sz w:val="20"/>
                <w:szCs w:val="20"/>
              </w:rPr>
            </w:pPr>
            <w:r w:rsidRPr="00E37EA2">
              <w:rPr>
                <w:rFonts w:cs="Arial"/>
                <w:sz w:val="20"/>
                <w:szCs w:val="20"/>
              </w:rPr>
              <w:t>518400</w:t>
            </w:r>
          </w:p>
        </w:tc>
        <w:tc>
          <w:tcPr>
            <w:tcW w:w="1962" w:type="dxa"/>
          </w:tcPr>
          <w:p w14:paraId="3B75B4D7" w14:textId="77777777" w:rsidR="00472271" w:rsidRPr="00E37EA2" w:rsidRDefault="00472271" w:rsidP="00472271">
            <w:pPr>
              <w:keepNext/>
              <w:rPr>
                <w:rFonts w:cs="Arial"/>
                <w:sz w:val="20"/>
                <w:szCs w:val="20"/>
              </w:rPr>
            </w:pPr>
            <w:r w:rsidRPr="00E37EA2">
              <w:rPr>
                <w:rFonts w:cs="Arial"/>
                <w:sz w:val="20"/>
                <w:szCs w:val="20"/>
              </w:rPr>
              <w:t>492788</w:t>
            </w:r>
          </w:p>
        </w:tc>
        <w:tc>
          <w:tcPr>
            <w:tcW w:w="1700" w:type="dxa"/>
          </w:tcPr>
          <w:p w14:paraId="2DA7829C" w14:textId="77777777" w:rsidR="00472271" w:rsidRPr="00E37EA2" w:rsidRDefault="00472271" w:rsidP="00472271">
            <w:pPr>
              <w:keepNext/>
              <w:rPr>
                <w:rFonts w:cs="Arial"/>
                <w:sz w:val="20"/>
                <w:szCs w:val="20"/>
              </w:rPr>
            </w:pPr>
            <w:r w:rsidRPr="00E37EA2">
              <w:rPr>
                <w:rFonts w:cs="Arial"/>
                <w:sz w:val="20"/>
                <w:szCs w:val="20"/>
              </w:rPr>
              <w:t>95.06%</w:t>
            </w:r>
          </w:p>
        </w:tc>
        <w:tc>
          <w:tcPr>
            <w:tcW w:w="1700" w:type="dxa"/>
          </w:tcPr>
          <w:p w14:paraId="0E4A60BC" w14:textId="7975A206" w:rsidR="00472271" w:rsidRPr="00E37EA2" w:rsidRDefault="00472271" w:rsidP="00472271">
            <w:pPr>
              <w:keepNext/>
              <w:rPr>
                <w:rFonts w:cs="Arial"/>
                <w:sz w:val="20"/>
                <w:szCs w:val="20"/>
                <w:highlight w:val="yellow"/>
              </w:rPr>
            </w:pPr>
            <w:r>
              <w:rPr>
                <w:rFonts w:ascii="Arial" w:hAnsi="Arial" w:cs="Arial"/>
              </w:rPr>
              <w:t>9.98</w:t>
            </w:r>
            <w:r w:rsidRPr="002E6F0C">
              <w:rPr>
                <w:rFonts w:ascii="Arial" w:hAnsi="Arial" w:cs="Arial"/>
              </w:rPr>
              <w:t>m</w:t>
            </w:r>
          </w:p>
        </w:tc>
      </w:tr>
      <w:tr w:rsidR="00472271" w:rsidRPr="002E6F0C" w14:paraId="5455D574" w14:textId="77777777" w:rsidTr="00041BA6">
        <w:trPr>
          <w:trHeight w:val="225"/>
          <w:jc w:val="center"/>
        </w:trPr>
        <w:tc>
          <w:tcPr>
            <w:tcW w:w="1862" w:type="dxa"/>
          </w:tcPr>
          <w:p w14:paraId="4A6E8B98" w14:textId="77777777" w:rsidR="00472271" w:rsidRPr="00E37EA2" w:rsidRDefault="00472271" w:rsidP="00472271">
            <w:pPr>
              <w:keepNext/>
              <w:rPr>
                <w:rFonts w:cs="Arial"/>
                <w:sz w:val="20"/>
                <w:szCs w:val="20"/>
              </w:rPr>
            </w:pPr>
            <w:r w:rsidRPr="00E37EA2">
              <w:rPr>
                <w:rFonts w:cs="Arial"/>
                <w:sz w:val="20"/>
                <w:szCs w:val="20"/>
              </w:rPr>
              <w:t>1 year</w:t>
            </w:r>
          </w:p>
        </w:tc>
        <w:tc>
          <w:tcPr>
            <w:tcW w:w="1884" w:type="dxa"/>
          </w:tcPr>
          <w:p w14:paraId="0DEE24A2" w14:textId="77777777" w:rsidR="00472271" w:rsidRPr="00E37EA2" w:rsidRDefault="00472271" w:rsidP="00472271">
            <w:pPr>
              <w:keepNext/>
              <w:rPr>
                <w:rFonts w:cs="Arial"/>
                <w:sz w:val="20"/>
                <w:szCs w:val="20"/>
              </w:rPr>
            </w:pPr>
            <w:r w:rsidRPr="00E37EA2">
              <w:rPr>
                <w:rFonts w:cs="Arial"/>
                <w:sz w:val="20"/>
                <w:szCs w:val="20"/>
              </w:rPr>
              <w:t>6.3M</w:t>
            </w:r>
          </w:p>
        </w:tc>
        <w:tc>
          <w:tcPr>
            <w:tcW w:w="1962" w:type="dxa"/>
          </w:tcPr>
          <w:p w14:paraId="0400093C" w14:textId="77777777" w:rsidR="00472271" w:rsidRPr="00E37EA2" w:rsidRDefault="00472271" w:rsidP="00472271">
            <w:pPr>
              <w:keepNext/>
              <w:rPr>
                <w:rFonts w:cs="Arial"/>
                <w:sz w:val="20"/>
                <w:szCs w:val="20"/>
              </w:rPr>
            </w:pPr>
            <w:r w:rsidRPr="00E37EA2">
              <w:rPr>
                <w:rFonts w:cs="Arial"/>
                <w:sz w:val="20"/>
                <w:szCs w:val="20"/>
              </w:rPr>
              <w:t>6.0M</w:t>
            </w:r>
          </w:p>
        </w:tc>
        <w:tc>
          <w:tcPr>
            <w:tcW w:w="1700" w:type="dxa"/>
          </w:tcPr>
          <w:p w14:paraId="106F06FC" w14:textId="77777777" w:rsidR="00472271" w:rsidRPr="00E37EA2" w:rsidRDefault="00472271" w:rsidP="00472271">
            <w:pPr>
              <w:keepNext/>
              <w:rPr>
                <w:rFonts w:cs="Arial"/>
                <w:sz w:val="20"/>
                <w:szCs w:val="20"/>
              </w:rPr>
            </w:pPr>
            <w:r w:rsidRPr="00E37EA2">
              <w:rPr>
                <w:rFonts w:cs="Arial"/>
                <w:sz w:val="20"/>
                <w:szCs w:val="20"/>
              </w:rPr>
              <w:t>95.02%</w:t>
            </w:r>
          </w:p>
        </w:tc>
        <w:tc>
          <w:tcPr>
            <w:tcW w:w="1700" w:type="dxa"/>
          </w:tcPr>
          <w:p w14:paraId="0E6BB044" w14:textId="30D5B6CB" w:rsidR="00472271" w:rsidRPr="00E37EA2" w:rsidRDefault="00472271" w:rsidP="00472271">
            <w:pPr>
              <w:keepNext/>
              <w:rPr>
                <w:rFonts w:cs="Arial"/>
                <w:sz w:val="20"/>
                <w:szCs w:val="20"/>
                <w:highlight w:val="yellow"/>
              </w:rPr>
            </w:pPr>
            <w:r>
              <w:rPr>
                <w:rFonts w:ascii="Arial" w:hAnsi="Arial" w:cs="Arial"/>
              </w:rPr>
              <w:t>9.99</w:t>
            </w:r>
            <w:r w:rsidRPr="002E6F0C">
              <w:rPr>
                <w:rFonts w:ascii="Arial" w:hAnsi="Arial" w:cs="Arial"/>
              </w:rPr>
              <w:t>m</w:t>
            </w:r>
          </w:p>
        </w:tc>
      </w:tr>
    </w:tbl>
    <w:p w14:paraId="265019D5" w14:textId="77777777" w:rsidR="00041BA6" w:rsidRDefault="00041BA6" w:rsidP="00220BD4">
      <w:pPr>
        <w:pStyle w:val="BodyText"/>
      </w:pPr>
    </w:p>
    <w:p w14:paraId="537F7A22" w14:textId="0D7684C4" w:rsidR="00220BD4" w:rsidRDefault="00041BA6" w:rsidP="00220BD4">
      <w:pPr>
        <w:pStyle w:val="Reference"/>
        <w:numPr>
          <w:ilvl w:val="0"/>
          <w:numId w:val="0"/>
        </w:numPr>
      </w:pPr>
      <w:r w:rsidRPr="00041BA6">
        <w:t>By taking more sample data, the requirements are asymptotically equivalent to showing 95% of th</w:t>
      </w:r>
      <w:r>
        <w:t>e sample population lies below 1</w:t>
      </w:r>
      <w:r w:rsidRPr="00041BA6">
        <w:t>0m, which is as expected.</w:t>
      </w:r>
    </w:p>
    <w:p w14:paraId="43752BB7" w14:textId="76F83DE7" w:rsidR="00041BA6" w:rsidRDefault="00041BA6" w:rsidP="00220BD4">
      <w:pPr>
        <w:pStyle w:val="Reference"/>
        <w:numPr>
          <w:ilvl w:val="0"/>
          <w:numId w:val="0"/>
        </w:numPr>
      </w:pPr>
      <w:r w:rsidRPr="00041BA6">
        <w:t>In reality the limitation of using a small data-window is not the statistical significance of the observation, or the number of fixes expected to exceed the target accuracy by sheer chance. The issue is that eLoran position-fixing is dependent on precisely calibrating out the bias in ASF. This value varies throughout the day on a 24-hour cycle and is highly seasonal, showing greater variability in winter than in milder summer months.</w:t>
      </w:r>
    </w:p>
    <w:p w14:paraId="2C6BC9AB" w14:textId="58CE67FD" w:rsidR="00041BA6" w:rsidRDefault="00041BA6" w:rsidP="00220BD4">
      <w:pPr>
        <w:pStyle w:val="Reference"/>
        <w:numPr>
          <w:ilvl w:val="0"/>
          <w:numId w:val="0"/>
        </w:numPr>
      </w:pPr>
      <w:r w:rsidRPr="00041BA6">
        <w:t>In actuality, a year’s worth of data (or smaller samples taken at intervals spanning 12 months) would be needed to rigorously prove the accuracy performance of the system under all seasonal conditions.</w:t>
      </w:r>
    </w:p>
    <w:p w14:paraId="04890327" w14:textId="77777777" w:rsidR="00041BA6" w:rsidRDefault="00041BA6" w:rsidP="00220BD4">
      <w:pPr>
        <w:pStyle w:val="Reference"/>
        <w:numPr>
          <w:ilvl w:val="0"/>
          <w:numId w:val="0"/>
        </w:numPr>
      </w:pPr>
    </w:p>
    <w:p w14:paraId="22DEA1AE" w14:textId="52A8D588" w:rsidR="00041BA6" w:rsidRDefault="00041BA6" w:rsidP="00041BA6">
      <w:pPr>
        <w:pStyle w:val="Annex"/>
        <w:numPr>
          <w:ilvl w:val="1"/>
          <w:numId w:val="3"/>
        </w:numPr>
        <w:ind w:left="432"/>
        <w:rPr>
          <w:rFonts w:asciiTheme="majorHAnsi" w:hAnsiTheme="majorHAnsi"/>
          <w:u w:val="none"/>
        </w:rPr>
      </w:pPr>
      <w:bookmarkStart w:id="93" w:name="_Toc336181813"/>
      <w:r w:rsidRPr="00041BA6">
        <w:rPr>
          <w:rFonts w:asciiTheme="majorHAnsi" w:hAnsiTheme="majorHAnsi"/>
          <w:i w:val="0"/>
          <w:u w:val="none"/>
        </w:rPr>
        <w:t>Availability Verification</w:t>
      </w:r>
      <w:bookmarkEnd w:id="93"/>
      <w:r w:rsidRPr="00041BA6">
        <w:rPr>
          <w:rFonts w:asciiTheme="majorHAnsi" w:hAnsiTheme="majorHAnsi"/>
          <w:i w:val="0"/>
          <w:u w:val="none"/>
        </w:rPr>
        <w:t xml:space="preserve"> </w:t>
      </w:r>
    </w:p>
    <w:p w14:paraId="174A9263" w14:textId="73015539" w:rsidR="00041BA6" w:rsidRDefault="00041BA6" w:rsidP="00041BA6">
      <w:pPr>
        <w:pStyle w:val="Reference"/>
        <w:numPr>
          <w:ilvl w:val="0"/>
          <w:numId w:val="0"/>
        </w:numPr>
      </w:pPr>
      <w:r w:rsidRPr="00041BA6">
        <w:t>The Null hypothesis (H0) is that the system fails to meet the availability target, the probability of each fix being ‘Available’ for use is less than (but only just less than) our requirement. The alternative hypothesis is that this probability is higher (the Availability exceeds the target).</w:t>
      </w:r>
    </w:p>
    <w:p w14:paraId="76D49AF3" w14:textId="77777777" w:rsidR="00041BA6" w:rsidRDefault="00041BA6" w:rsidP="00041BA6">
      <w:pPr>
        <w:pStyle w:val="Reference"/>
        <w:numPr>
          <w:ilvl w:val="0"/>
          <w:numId w:val="0"/>
        </w:numPr>
        <w:ind w:left="567" w:hanging="567"/>
      </w:pPr>
      <w:r>
        <w:t>H0: Probability of fix availability = 0.99</w:t>
      </w:r>
    </w:p>
    <w:p w14:paraId="583A30BB" w14:textId="554957AF" w:rsidR="00041BA6" w:rsidRDefault="00041BA6" w:rsidP="00041BA6">
      <w:pPr>
        <w:pStyle w:val="Reference"/>
        <w:numPr>
          <w:ilvl w:val="0"/>
          <w:numId w:val="0"/>
        </w:numPr>
      </w:pPr>
      <w:r>
        <w:t>H1: Probability of fix availability &gt; 0.99</w:t>
      </w:r>
    </w:p>
    <w:p w14:paraId="679FB554" w14:textId="77777777" w:rsidR="00041BA6" w:rsidRDefault="00041BA6" w:rsidP="00041BA6">
      <w:pPr>
        <w:pStyle w:val="Reference"/>
        <w:numPr>
          <w:ilvl w:val="0"/>
          <w:numId w:val="0"/>
        </w:numPr>
      </w:pPr>
      <w:r>
        <w:t xml:space="preserve">The individual availability of each fix is a Binomial distribution, with </w:t>
      </w:r>
      <w:r w:rsidRPr="00041BA6">
        <w:rPr>
          <w:i/>
        </w:rPr>
        <w:t>p</w:t>
      </w:r>
      <w:r>
        <w:t>=0.99. A large number (</w:t>
      </w:r>
      <w:r w:rsidRPr="00041BA6">
        <w:rPr>
          <w:i/>
        </w:rPr>
        <w:t>n</w:t>
      </w:r>
      <w:r>
        <w:t xml:space="preserve">) of observations is gathered in a sample. The Binominal distribution is again approximated to a Normal distribution. </w:t>
      </w:r>
      <w:r w:rsidRPr="00041BA6">
        <w:rPr>
          <w:i/>
        </w:rPr>
        <w:t>µ</w:t>
      </w:r>
      <w:r>
        <w:t>=</w:t>
      </w:r>
      <w:r w:rsidRPr="00041BA6">
        <w:rPr>
          <w:i/>
        </w:rPr>
        <w:t>np</w:t>
      </w:r>
      <w:r>
        <w:t xml:space="preserve">, </w:t>
      </w:r>
      <w:r w:rsidRPr="00041BA6">
        <w:rPr>
          <w:i/>
        </w:rPr>
        <w:t>σ</w:t>
      </w:r>
      <w:r w:rsidRPr="00041BA6">
        <w:rPr>
          <w:szCs w:val="22"/>
          <w:vertAlign w:val="superscript"/>
        </w:rPr>
        <w:t>2</w:t>
      </w:r>
      <w:r>
        <w:t>=</w:t>
      </w:r>
      <w:r w:rsidRPr="00041BA6">
        <w:rPr>
          <w:i/>
        </w:rPr>
        <w:t>np</w:t>
      </w:r>
      <w:r>
        <w:t>(1-</w:t>
      </w:r>
      <w:r w:rsidRPr="00041BA6">
        <w:rPr>
          <w:i/>
        </w:rPr>
        <w:t>p</w:t>
      </w:r>
      <w:r>
        <w:t>). The confidence level (at 2.5%) can then be assigned to this distribution.</w:t>
      </w:r>
    </w:p>
    <w:p w14:paraId="74FC4E6D" w14:textId="77777777" w:rsidR="00041BA6" w:rsidRDefault="00041BA6" w:rsidP="00041BA6">
      <w:pPr>
        <w:pStyle w:val="Reference"/>
        <w:numPr>
          <w:ilvl w:val="0"/>
          <w:numId w:val="0"/>
        </w:numPr>
      </w:pPr>
      <w:r>
        <w:t xml:space="preserve">For example, for one day of data, has </w:t>
      </w:r>
      <w:r w:rsidRPr="00041BA6">
        <w:rPr>
          <w:i/>
        </w:rPr>
        <w:t>n</w:t>
      </w:r>
      <w:r>
        <w:t xml:space="preserve">=17280, </w:t>
      </w:r>
      <w:r w:rsidRPr="00041BA6">
        <w:rPr>
          <w:i/>
        </w:rPr>
        <w:t>µ</w:t>
      </w:r>
      <w:r>
        <w:t xml:space="preserve">=17107.2, </w:t>
      </w:r>
      <w:r w:rsidRPr="00041BA6">
        <w:rPr>
          <w:i/>
        </w:rPr>
        <w:t>σ</w:t>
      </w:r>
      <w:r>
        <w:t>=13.1 (again assuming 5 seconds between fixes). The confidence level (at 2.5%) is mean plus 1.96 times sigma. This is 17132.8, so it is required that there are at least 17133 ‘available’ fixes this day for the result to be significant. This is actually an Availability figure for the day of 99.15%.</w:t>
      </w:r>
    </w:p>
    <w:p w14:paraId="0E598F8E" w14:textId="77777777" w:rsidR="00041BA6" w:rsidRDefault="00041BA6" w:rsidP="00041BA6">
      <w:pPr>
        <w:pStyle w:val="Reference"/>
        <w:numPr>
          <w:ilvl w:val="0"/>
          <w:numId w:val="0"/>
        </w:numPr>
      </w:pPr>
      <w:r>
        <w:t>Again, there is a relation between the amount of data gathered, and the ‘effective’ availability that has to be proved to be statistically significant. This is very similar to the Table above for accuracy, and the required effective availability is asymptotically (in the number of fixes) equal to the system requirement. With a very large amount of data collected in the sample, proving 99% Availability would require demonstrating 99% sample-availability.</w:t>
      </w:r>
    </w:p>
    <w:p w14:paraId="79B5B4B4" w14:textId="1CE4FA0D" w:rsidR="00041BA6" w:rsidRDefault="00041BA6" w:rsidP="00041BA6">
      <w:pPr>
        <w:pStyle w:val="Reference"/>
        <w:numPr>
          <w:ilvl w:val="0"/>
          <w:numId w:val="0"/>
        </w:numPr>
      </w:pPr>
      <w:r>
        <w:t>There are limitations with this treatment of Availability – since most of the un-available time is expected to be due to transmitter down-time and maintenance. If the data-collection window in question contains no transmitter-outages then the data is not representative of the ‘long term’ behaviour of the system. 12 months of data would be recommended so as to include a significant number of monthly transmitter maintenance periods.</w:t>
      </w:r>
    </w:p>
    <w:p w14:paraId="774FDE8D" w14:textId="77777777" w:rsidR="00834189" w:rsidRDefault="00834189" w:rsidP="00041BA6">
      <w:pPr>
        <w:pStyle w:val="Reference"/>
        <w:numPr>
          <w:ilvl w:val="0"/>
          <w:numId w:val="0"/>
        </w:numPr>
      </w:pPr>
    </w:p>
    <w:p w14:paraId="4CF63E80" w14:textId="33933F90" w:rsidR="00834189" w:rsidRDefault="00834189" w:rsidP="00834189">
      <w:pPr>
        <w:pStyle w:val="Annex"/>
        <w:numPr>
          <w:ilvl w:val="1"/>
          <w:numId w:val="3"/>
        </w:numPr>
        <w:ind w:left="432"/>
        <w:rPr>
          <w:rFonts w:asciiTheme="majorHAnsi" w:hAnsiTheme="majorHAnsi"/>
          <w:u w:val="none"/>
        </w:rPr>
      </w:pPr>
      <w:bookmarkStart w:id="94" w:name="_Toc336181814"/>
      <w:r>
        <w:rPr>
          <w:rFonts w:asciiTheme="majorHAnsi" w:hAnsiTheme="majorHAnsi"/>
          <w:i w:val="0"/>
          <w:u w:val="none"/>
        </w:rPr>
        <w:t>Integrity</w:t>
      </w:r>
      <w:r w:rsidRPr="00041BA6">
        <w:rPr>
          <w:rFonts w:asciiTheme="majorHAnsi" w:hAnsiTheme="majorHAnsi"/>
          <w:i w:val="0"/>
          <w:u w:val="none"/>
        </w:rPr>
        <w:t xml:space="preserve"> Verification</w:t>
      </w:r>
      <w:bookmarkEnd w:id="94"/>
      <w:r w:rsidRPr="00041BA6">
        <w:rPr>
          <w:rFonts w:asciiTheme="majorHAnsi" w:hAnsiTheme="majorHAnsi"/>
          <w:i w:val="0"/>
          <w:u w:val="none"/>
        </w:rPr>
        <w:t xml:space="preserve"> </w:t>
      </w:r>
    </w:p>
    <w:p w14:paraId="4E19C062" w14:textId="3BDD15F9" w:rsidR="00834189" w:rsidRDefault="00834189" w:rsidP="00041BA6">
      <w:pPr>
        <w:pStyle w:val="Reference"/>
        <w:numPr>
          <w:ilvl w:val="0"/>
          <w:numId w:val="0"/>
        </w:numPr>
      </w:pPr>
      <w:r w:rsidRPr="00834189">
        <w:t>Integrity of 10</w:t>
      </w:r>
      <w:r w:rsidRPr="00834189">
        <w:rPr>
          <w:szCs w:val="22"/>
          <w:vertAlign w:val="superscript"/>
        </w:rPr>
        <w:t>-4</w:t>
      </w:r>
      <w:r w:rsidRPr="00834189">
        <w:t xml:space="preserve"> requires that the probability of Integrity failure is less than 0.0001.</w:t>
      </w:r>
    </w:p>
    <w:p w14:paraId="3706D31A" w14:textId="77777777" w:rsidR="00834189" w:rsidRDefault="00834189" w:rsidP="00834189">
      <w:pPr>
        <w:pStyle w:val="Reference"/>
        <w:numPr>
          <w:ilvl w:val="0"/>
          <w:numId w:val="0"/>
        </w:numPr>
        <w:ind w:left="567" w:hanging="567"/>
      </w:pPr>
      <w:r>
        <w:t>H0: Probability of Integrity failure equals 0.0001.</w:t>
      </w:r>
    </w:p>
    <w:p w14:paraId="50F1E7CF" w14:textId="1BDD6371" w:rsidR="00834189" w:rsidRDefault="00834189" w:rsidP="00834189">
      <w:pPr>
        <w:pStyle w:val="Reference"/>
        <w:numPr>
          <w:ilvl w:val="0"/>
          <w:numId w:val="0"/>
        </w:numPr>
      </w:pPr>
      <w:r>
        <w:t>H1: Probability of Integrity failure is less than 0.0001.</w:t>
      </w:r>
    </w:p>
    <w:p w14:paraId="339EFC87" w14:textId="18771C6A" w:rsidR="00834189" w:rsidRPr="00834189" w:rsidRDefault="00834189" w:rsidP="00834189">
      <w:pPr>
        <w:pStyle w:val="Reference"/>
        <w:numPr>
          <w:ilvl w:val="0"/>
          <w:numId w:val="0"/>
        </w:numPr>
      </w:pPr>
      <w:r w:rsidRPr="00834189">
        <w:t xml:space="preserve">The number of Integrity failures in the sample follows a Binomial distribution. For the example of one-day of data, </w:t>
      </w:r>
      <w:r w:rsidRPr="00834189">
        <w:rPr>
          <w:i/>
        </w:rPr>
        <w:t>n</w:t>
      </w:r>
      <w:r w:rsidRPr="00834189">
        <w:t xml:space="preserve">=17280, </w:t>
      </w:r>
      <w:r w:rsidRPr="00834189">
        <w:rPr>
          <w:i/>
        </w:rPr>
        <w:t>p</w:t>
      </w:r>
      <w:r>
        <w:t>=</w:t>
      </w:r>
      <w:r w:rsidRPr="00834189">
        <w:t xml:space="preserve">0.0001, </w:t>
      </w:r>
      <w:r w:rsidRPr="00834189">
        <w:rPr>
          <w:i/>
        </w:rPr>
        <w:t>µ</w:t>
      </w:r>
      <w:r w:rsidRPr="00834189">
        <w:t>=1.7. In this case it is likely that it is not possible to use the Binominal to Normal approximation, as µ is less than about 5. A statistical significance test shows that, given H0, a full day of ‘good Integrity’ (i.e. zero integrity failures in the day) can occur purely by chance with probability P</w:t>
      </w:r>
      <w:r w:rsidRPr="00834189">
        <w:rPr>
          <w:szCs w:val="22"/>
          <w:vertAlign w:val="subscript"/>
        </w:rPr>
        <w:t>0</w:t>
      </w:r>
      <w:r w:rsidRPr="00834189">
        <w:t>:</w:t>
      </w:r>
    </w:p>
    <w:p w14:paraId="4A361958" w14:textId="58ABE83E" w:rsidR="00834189" w:rsidRPr="00834189" w:rsidRDefault="00FD1EC9" w:rsidP="00834189">
      <w:pPr>
        <w:rPr>
          <w:rFonts w:ascii="Arial" w:hAnsi="Arial" w:cs="Arial"/>
          <w:sz w:val="22"/>
        </w:rPr>
      </w:pPr>
      <m:oMathPara>
        <m:oMath>
          <m:sSub>
            <m:sSubPr>
              <m:ctrlPr>
                <w:rPr>
                  <w:rFonts w:ascii="Cambria Math" w:hAnsi="Cambria Math" w:cs="Arial"/>
                  <w:i/>
                  <w:sz w:val="22"/>
                </w:rPr>
              </m:ctrlPr>
            </m:sSubPr>
            <m:e>
              <m:r>
                <w:rPr>
                  <w:rFonts w:ascii="Cambria Math" w:hAnsi="Cambria Math" w:cs="Arial"/>
                  <w:sz w:val="22"/>
                </w:rPr>
                <m:t>P</m:t>
              </m:r>
            </m:e>
            <m:sub>
              <m:r>
                <w:rPr>
                  <w:rFonts w:ascii="Cambria Math" w:hAnsi="Cambria Math" w:cs="Arial"/>
                  <w:sz w:val="22"/>
                </w:rPr>
                <m:t>0</m:t>
              </m:r>
            </m:sub>
          </m:sSub>
          <m:r>
            <w:rPr>
              <w:rFonts w:ascii="Cambria Math" w:hAnsi="Cambria Math" w:cs="Arial"/>
              <w:sz w:val="22"/>
            </w:rPr>
            <m:t>=</m:t>
          </m:r>
          <m:sSup>
            <m:sSupPr>
              <m:ctrlPr>
                <w:rPr>
                  <w:rFonts w:ascii="Cambria Math" w:hAnsi="Cambria Math" w:cs="Arial"/>
                  <w:i/>
                  <w:sz w:val="22"/>
                </w:rPr>
              </m:ctrlPr>
            </m:sSupPr>
            <m:e>
              <m:d>
                <m:dPr>
                  <m:ctrlPr>
                    <w:rPr>
                      <w:rFonts w:ascii="Cambria Math" w:hAnsi="Cambria Math" w:cs="Arial"/>
                      <w:i/>
                      <w:sz w:val="22"/>
                    </w:rPr>
                  </m:ctrlPr>
                </m:dPr>
                <m:e>
                  <m:r>
                    <w:rPr>
                      <w:rFonts w:ascii="Cambria Math" w:hAnsi="Cambria Math" w:cs="Arial"/>
                      <w:sz w:val="22"/>
                    </w:rPr>
                    <m:t>1-p</m:t>
                  </m:r>
                </m:e>
              </m:d>
            </m:e>
            <m:sup>
              <m:r>
                <w:rPr>
                  <w:rFonts w:ascii="Cambria Math" w:hAnsi="Cambria Math" w:cs="Arial"/>
                  <w:sz w:val="22"/>
                </w:rPr>
                <m:t>n</m:t>
              </m:r>
            </m:sup>
          </m:sSup>
        </m:oMath>
      </m:oMathPara>
    </w:p>
    <w:p w14:paraId="16AA4333" w14:textId="40D8CFE2" w:rsidR="00834189" w:rsidRDefault="00834189" w:rsidP="00834189">
      <w:pPr>
        <w:pStyle w:val="Reference"/>
        <w:numPr>
          <w:ilvl w:val="0"/>
          <w:numId w:val="0"/>
        </w:numPr>
      </w:pPr>
      <w:r>
        <w:t>P0 is equal to 0.1776, so there is a 17.76% chance that, even though the Integrity Risk of the system is just 10</w:t>
      </w:r>
      <w:r w:rsidRPr="00834189">
        <w:rPr>
          <w:szCs w:val="22"/>
          <w:vertAlign w:val="superscript"/>
        </w:rPr>
        <w:t>-4</w:t>
      </w:r>
      <w:r>
        <w:t>, a whole day goes by without an Integrity failure. There is no way this can be considered statistically significant, and considerably more data is required to verify Integrity.</w:t>
      </w:r>
    </w:p>
    <w:p w14:paraId="0739131D" w14:textId="51648AF5" w:rsidR="00834189" w:rsidRDefault="00834189" w:rsidP="00834189">
      <w:pPr>
        <w:pStyle w:val="Reference"/>
        <w:numPr>
          <w:ilvl w:val="0"/>
          <w:numId w:val="0"/>
        </w:numPr>
      </w:pPr>
      <w:r>
        <w:t>For higher levels of Integrity this statistical significance becomes even more demanding. If the system must satisfy 10</w:t>
      </w:r>
      <w:r w:rsidRPr="00F85E2B">
        <w:rPr>
          <w:szCs w:val="22"/>
          <w:vertAlign w:val="superscript"/>
        </w:rPr>
        <w:t>-5</w:t>
      </w:r>
      <w:r>
        <w:t xml:space="preserve"> Integrity, a whole two-weeks of data without an Integrity failure can be expected to occur purely by chance with a probability of 8.9% (using the </w:t>
      </w:r>
      <w:r w:rsidR="00F85E2B" w:rsidRPr="00834189">
        <w:t>P</w:t>
      </w:r>
      <w:r w:rsidR="00F85E2B" w:rsidRPr="00834189">
        <w:rPr>
          <w:szCs w:val="22"/>
          <w:vertAlign w:val="subscript"/>
        </w:rPr>
        <w:t>0</w:t>
      </w:r>
      <w:r>
        <w:t xml:space="preserve"> formula above).</w:t>
      </w:r>
    </w:p>
    <w:p w14:paraId="7CF279D4" w14:textId="6F56ECD8" w:rsidR="00F85E2B" w:rsidRDefault="00F85E2B" w:rsidP="00834189">
      <w:pPr>
        <w:pStyle w:val="Reference"/>
        <w:numPr>
          <w:ilvl w:val="0"/>
          <w:numId w:val="0"/>
        </w:numPr>
      </w:pPr>
      <w:r w:rsidRPr="00F85E2B">
        <w:t>Integrity, if anything, is actually more suited to this kind of analysis since fault-detection is done by a user’s receiver largely based on a statistical process involving assumptions about pseudo-ranging accuracy. Transmitter off-airs and outages are more likely to impact availability and continuity, since a critical loss of geometry is more likely to result in loss of RAIM rather than Integrity failures (‘yellow light’ Integrity loss rather than ‘green light’ HMI failures).</w:t>
      </w:r>
    </w:p>
    <w:p w14:paraId="74C915CD" w14:textId="12E0672D" w:rsidR="00F85E2B" w:rsidRDefault="00F85E2B" w:rsidP="00834189">
      <w:pPr>
        <w:pStyle w:val="Reference"/>
        <w:numPr>
          <w:ilvl w:val="0"/>
          <w:numId w:val="0"/>
        </w:numPr>
      </w:pPr>
      <w:r w:rsidRPr="00F85E2B">
        <w:t>The only caveat is that loss of minor transmitters (those a long way from the user, or available at low SNR, or those transmitters less critical for position-fixing geometry) are more likely to leave a user still able to use RAIM, but at a lower level of fidelity. In these cases, the assumption that the Integrity risk (probability ‘</w:t>
      </w:r>
      <w:r w:rsidRPr="00F85E2B">
        <w:rPr>
          <w:i/>
        </w:rPr>
        <w:t>p</w:t>
      </w:r>
      <w:r w:rsidRPr="00F85E2B">
        <w:t>’) is constant is unlikely to be valid. However, the population Integrity risk will never improve with loss of transmitters. Integrity risk always increases when pseudo-ranging information is lost, so the test will prove, if anything, an overly pessimistic indication of true system performance.</w:t>
      </w:r>
    </w:p>
    <w:p w14:paraId="2E0CFBFE" w14:textId="0E8FB66B" w:rsidR="00F85E2B" w:rsidRDefault="00F85E2B" w:rsidP="00834189">
      <w:pPr>
        <w:pStyle w:val="Reference"/>
        <w:numPr>
          <w:ilvl w:val="0"/>
          <w:numId w:val="0"/>
        </w:numPr>
      </w:pPr>
      <w:r w:rsidRPr="00F85E2B">
        <w:t>The following table indicates the amount of data-collection required and what can be determined of Integrity.</w:t>
      </w:r>
    </w:p>
    <w:p w14:paraId="625660E3" w14:textId="77777777" w:rsidR="00F85E2B" w:rsidRDefault="00F85E2B" w:rsidP="00F85E2B">
      <w:pPr>
        <w:pStyle w:val="Reference"/>
        <w:numPr>
          <w:ilvl w:val="0"/>
          <w:numId w:val="0"/>
        </w:numPr>
      </w:pPr>
    </w:p>
    <w:p w14:paraId="26CFC8A5" w14:textId="62148059" w:rsidR="00F85E2B" w:rsidRDefault="00F85E2B" w:rsidP="00F85E2B">
      <w:pPr>
        <w:pStyle w:val="Tablecaption"/>
        <w:numPr>
          <w:ilvl w:val="0"/>
          <w:numId w:val="0"/>
        </w:numPr>
        <w:ind w:left="567"/>
        <w:jc w:val="center"/>
      </w:pPr>
      <w:bookmarkStart w:id="95" w:name="_Toc336178222"/>
      <w:r>
        <w:t>Table A. 2.</w:t>
      </w:r>
      <w:r w:rsidRPr="00220BD4">
        <w:rPr>
          <w:u w:val="none"/>
        </w:rPr>
        <w:t xml:space="preserve">    </w:t>
      </w:r>
      <w:r w:rsidRPr="00F85E2B">
        <w:t>Duration of measurement period versus statistical significance for effective Integrity Risk target to demonstrate 10</w:t>
      </w:r>
      <w:r w:rsidRPr="00F85E2B">
        <w:rPr>
          <w:iCs/>
          <w:vertAlign w:val="superscript"/>
        </w:rPr>
        <w:t>-4</w:t>
      </w:r>
      <w:r w:rsidRPr="00F85E2B">
        <w:t xml:space="preserve">  Integrity Risk (assuming 5 seconds per fix)</w:t>
      </w:r>
      <w:bookmarkEnd w:id="95"/>
    </w:p>
    <w:tbl>
      <w:tblPr>
        <w:tblStyle w:val="TableGrid2"/>
        <w:tblW w:w="0" w:type="auto"/>
        <w:jc w:val="center"/>
        <w:tblLook w:val="04A0" w:firstRow="1" w:lastRow="0" w:firstColumn="1" w:lastColumn="0" w:noHBand="0" w:noVBand="1"/>
      </w:tblPr>
      <w:tblGrid>
        <w:gridCol w:w="1572"/>
        <w:gridCol w:w="1672"/>
        <w:gridCol w:w="5682"/>
      </w:tblGrid>
      <w:tr w:rsidR="008E7A4F" w:rsidRPr="002E6F0C" w14:paraId="47F34251" w14:textId="77777777" w:rsidTr="008E7A4F">
        <w:trPr>
          <w:jc w:val="center"/>
        </w:trPr>
        <w:tc>
          <w:tcPr>
            <w:tcW w:w="1572" w:type="dxa"/>
          </w:tcPr>
          <w:p w14:paraId="480CBAEB" w14:textId="77777777" w:rsidR="008E7A4F" w:rsidRPr="00E37EA2" w:rsidRDefault="008E7A4F" w:rsidP="00BE7C28">
            <w:pPr>
              <w:rPr>
                <w:rFonts w:asciiTheme="minorHAnsi" w:hAnsiTheme="minorHAnsi" w:cs="Arial"/>
                <w:b/>
                <w:color w:val="6787C4" w:themeColor="accent5"/>
                <w:sz w:val="20"/>
              </w:rPr>
            </w:pPr>
            <w:r w:rsidRPr="00E37EA2">
              <w:rPr>
                <w:rFonts w:asciiTheme="minorHAnsi" w:hAnsiTheme="minorHAnsi" w:cs="Arial"/>
                <w:b/>
                <w:color w:val="6787C4" w:themeColor="accent5"/>
                <w:sz w:val="20"/>
              </w:rPr>
              <w:t>Length of Time</w:t>
            </w:r>
          </w:p>
        </w:tc>
        <w:tc>
          <w:tcPr>
            <w:tcW w:w="1672" w:type="dxa"/>
          </w:tcPr>
          <w:p w14:paraId="2B6BA070" w14:textId="77777777" w:rsidR="008E7A4F" w:rsidRPr="00E37EA2" w:rsidRDefault="008E7A4F" w:rsidP="00BE7C28">
            <w:pPr>
              <w:rPr>
                <w:rFonts w:asciiTheme="minorHAnsi" w:hAnsiTheme="minorHAnsi" w:cs="Arial"/>
                <w:b/>
                <w:color w:val="6787C4" w:themeColor="accent5"/>
                <w:sz w:val="20"/>
              </w:rPr>
            </w:pPr>
            <w:r w:rsidRPr="00E37EA2">
              <w:rPr>
                <w:rFonts w:asciiTheme="minorHAnsi" w:hAnsiTheme="minorHAnsi" w:cs="Arial"/>
                <w:b/>
                <w:color w:val="6787C4" w:themeColor="accent5"/>
                <w:sz w:val="20"/>
              </w:rPr>
              <w:t>Number of Fixes</w:t>
            </w:r>
          </w:p>
        </w:tc>
        <w:tc>
          <w:tcPr>
            <w:tcW w:w="5682" w:type="dxa"/>
          </w:tcPr>
          <w:p w14:paraId="5AF6C513" w14:textId="77777777" w:rsidR="008E7A4F" w:rsidRPr="00E37EA2" w:rsidRDefault="008E7A4F" w:rsidP="00BE7C28">
            <w:pPr>
              <w:rPr>
                <w:rFonts w:asciiTheme="minorHAnsi" w:hAnsiTheme="minorHAnsi" w:cs="Arial"/>
                <w:b/>
                <w:color w:val="6787C4" w:themeColor="accent5"/>
                <w:sz w:val="20"/>
              </w:rPr>
            </w:pPr>
            <w:r w:rsidRPr="00E37EA2">
              <w:rPr>
                <w:rFonts w:asciiTheme="minorHAnsi" w:hAnsiTheme="minorHAnsi" w:cs="Arial"/>
                <w:b/>
                <w:color w:val="6787C4" w:themeColor="accent5"/>
                <w:sz w:val="20"/>
              </w:rPr>
              <w:t>Notes</w:t>
            </w:r>
          </w:p>
        </w:tc>
      </w:tr>
      <w:tr w:rsidR="008E7A4F" w:rsidRPr="002E6F0C" w14:paraId="670012E1" w14:textId="77777777" w:rsidTr="008E7A4F">
        <w:trPr>
          <w:jc w:val="center"/>
        </w:trPr>
        <w:tc>
          <w:tcPr>
            <w:tcW w:w="1572" w:type="dxa"/>
          </w:tcPr>
          <w:p w14:paraId="5A440427"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1 day</w:t>
            </w:r>
          </w:p>
        </w:tc>
        <w:tc>
          <w:tcPr>
            <w:tcW w:w="1672" w:type="dxa"/>
          </w:tcPr>
          <w:p w14:paraId="7E602721"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17280</w:t>
            </w:r>
          </w:p>
        </w:tc>
        <w:tc>
          <w:tcPr>
            <w:tcW w:w="5682" w:type="dxa"/>
          </w:tcPr>
          <w:p w14:paraId="49CA0A75" w14:textId="61F67FAE" w:rsidR="008E7A4F" w:rsidRPr="00E37EA2" w:rsidRDefault="008E7A4F" w:rsidP="00BE7C28">
            <w:pPr>
              <w:rPr>
                <w:rFonts w:asciiTheme="minorHAnsi" w:hAnsiTheme="minorHAnsi" w:cs="Arial"/>
                <w:sz w:val="20"/>
              </w:rPr>
            </w:pPr>
            <w:r w:rsidRPr="00E37EA2">
              <w:rPr>
                <w:rFonts w:asciiTheme="minorHAnsi" w:hAnsiTheme="minorHAnsi" w:cs="Arial"/>
                <w:sz w:val="20"/>
              </w:rPr>
              <w:t>All-clear can occur with 17% probability, no way to verify Integrity</w:t>
            </w:r>
            <w:r w:rsidR="002D5A0F">
              <w:rPr>
                <w:rFonts w:asciiTheme="minorHAnsi" w:hAnsiTheme="minorHAnsi" w:cs="Arial"/>
                <w:sz w:val="20"/>
              </w:rPr>
              <w:t>.</w:t>
            </w:r>
          </w:p>
        </w:tc>
      </w:tr>
      <w:tr w:rsidR="008E7A4F" w:rsidRPr="002E6F0C" w14:paraId="65CC92CD" w14:textId="77777777" w:rsidTr="008E7A4F">
        <w:trPr>
          <w:jc w:val="center"/>
        </w:trPr>
        <w:tc>
          <w:tcPr>
            <w:tcW w:w="1572" w:type="dxa"/>
          </w:tcPr>
          <w:p w14:paraId="08E11C8E"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2 days</w:t>
            </w:r>
          </w:p>
        </w:tc>
        <w:tc>
          <w:tcPr>
            <w:tcW w:w="1672" w:type="dxa"/>
          </w:tcPr>
          <w:p w14:paraId="3F112CC2"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34560</w:t>
            </w:r>
          </w:p>
        </w:tc>
        <w:tc>
          <w:tcPr>
            <w:tcW w:w="5682" w:type="dxa"/>
          </w:tcPr>
          <w:p w14:paraId="10EED8A9"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All-clear can occur with 3.2% probability.</w:t>
            </w:r>
          </w:p>
          <w:p w14:paraId="35FA7821"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One failure will occur with 11% probability.</w:t>
            </w:r>
          </w:p>
          <w:p w14:paraId="64DF4E52"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We would need 100% all-clear to suggest that Integrity is better than 10</w:t>
            </w:r>
            <w:r w:rsidRPr="00E37EA2">
              <w:rPr>
                <w:rFonts w:asciiTheme="minorHAnsi" w:hAnsiTheme="minorHAnsi" w:cs="Arial"/>
                <w:sz w:val="20"/>
                <w:vertAlign w:val="superscript"/>
              </w:rPr>
              <w:t>-4</w:t>
            </w:r>
            <w:r w:rsidRPr="00E37EA2">
              <w:rPr>
                <w:rFonts w:asciiTheme="minorHAnsi" w:hAnsiTheme="minorHAnsi" w:cs="Arial"/>
                <w:sz w:val="20"/>
              </w:rPr>
              <w:t xml:space="preserve"> at 5% Confidence.</w:t>
            </w:r>
          </w:p>
        </w:tc>
      </w:tr>
      <w:tr w:rsidR="008E7A4F" w:rsidRPr="002E6F0C" w14:paraId="4E92EB05" w14:textId="77777777" w:rsidTr="008E7A4F">
        <w:trPr>
          <w:jc w:val="center"/>
        </w:trPr>
        <w:tc>
          <w:tcPr>
            <w:tcW w:w="1572" w:type="dxa"/>
          </w:tcPr>
          <w:p w14:paraId="7428BBB4"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7 days</w:t>
            </w:r>
          </w:p>
        </w:tc>
        <w:tc>
          <w:tcPr>
            <w:tcW w:w="1672" w:type="dxa"/>
          </w:tcPr>
          <w:p w14:paraId="59B5E48C"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120960</w:t>
            </w:r>
          </w:p>
        </w:tc>
        <w:tc>
          <w:tcPr>
            <w:tcW w:w="5682" w:type="dxa"/>
          </w:tcPr>
          <w:p w14:paraId="320DA7F3" w14:textId="488D2089" w:rsidR="008E7A4F" w:rsidRPr="00E37EA2" w:rsidRDefault="008E7A4F" w:rsidP="00BE7C28">
            <w:pPr>
              <w:rPr>
                <w:rFonts w:asciiTheme="minorHAnsi" w:hAnsiTheme="minorHAnsi" w:cs="Arial"/>
                <w:sz w:val="20"/>
              </w:rPr>
            </w:pPr>
            <w:r w:rsidRPr="00E37EA2">
              <w:rPr>
                <w:rFonts w:asciiTheme="minorHAnsi" w:hAnsiTheme="minorHAnsi" w:cs="Arial"/>
                <w:sz w:val="20"/>
              </w:rPr>
              <w:t>All-clear would occur with 0.00056% probability</w:t>
            </w:r>
            <w:r w:rsidR="002D5A0F">
              <w:rPr>
                <w:rFonts w:asciiTheme="minorHAnsi" w:hAnsiTheme="minorHAnsi" w:cs="Arial"/>
                <w:sz w:val="20"/>
              </w:rPr>
              <w:t>.</w:t>
            </w:r>
          </w:p>
          <w:p w14:paraId="50F0EDFE" w14:textId="6925F7F1" w:rsidR="008E7A4F" w:rsidRPr="00E37EA2" w:rsidRDefault="008E7A4F" w:rsidP="00BE7C28">
            <w:pPr>
              <w:rPr>
                <w:rFonts w:asciiTheme="minorHAnsi" w:hAnsiTheme="minorHAnsi" w:cs="Arial"/>
                <w:sz w:val="20"/>
              </w:rPr>
            </w:pPr>
            <w:r w:rsidRPr="00E37EA2">
              <w:rPr>
                <w:rFonts w:asciiTheme="minorHAnsi" w:hAnsiTheme="minorHAnsi" w:cs="Arial"/>
                <w:sz w:val="20"/>
              </w:rPr>
              <w:t>One failure would occur with 0.007% probability</w:t>
            </w:r>
            <w:r w:rsidR="002D5A0F">
              <w:rPr>
                <w:rFonts w:asciiTheme="minorHAnsi" w:hAnsiTheme="minorHAnsi" w:cs="Arial"/>
                <w:sz w:val="20"/>
              </w:rPr>
              <w:t>.</w:t>
            </w:r>
          </w:p>
          <w:p w14:paraId="45E70583" w14:textId="70A5C006" w:rsidR="008E7A4F" w:rsidRPr="00E37EA2" w:rsidRDefault="008E7A4F" w:rsidP="00BE7C28">
            <w:pPr>
              <w:rPr>
                <w:rFonts w:asciiTheme="minorHAnsi" w:hAnsiTheme="minorHAnsi" w:cs="Arial"/>
                <w:sz w:val="20"/>
              </w:rPr>
            </w:pPr>
            <w:r w:rsidRPr="00E37EA2">
              <w:rPr>
                <w:rFonts w:asciiTheme="minorHAnsi" w:hAnsiTheme="minorHAnsi" w:cs="Arial"/>
                <w:sz w:val="20"/>
              </w:rPr>
              <w:t>Two-failures at 0.04%</w:t>
            </w:r>
            <w:r w:rsidR="002D5A0F">
              <w:rPr>
                <w:rFonts w:asciiTheme="minorHAnsi" w:hAnsiTheme="minorHAnsi" w:cs="Arial"/>
                <w:sz w:val="20"/>
              </w:rPr>
              <w:t>.</w:t>
            </w:r>
          </w:p>
          <w:p w14:paraId="4ACB3D11" w14:textId="21C4A077" w:rsidR="008E7A4F" w:rsidRPr="00E37EA2" w:rsidRDefault="008E7A4F" w:rsidP="00BE7C28">
            <w:pPr>
              <w:rPr>
                <w:rFonts w:asciiTheme="minorHAnsi" w:hAnsiTheme="minorHAnsi" w:cs="Arial"/>
                <w:sz w:val="20"/>
              </w:rPr>
            </w:pPr>
            <w:r w:rsidRPr="00E37EA2">
              <w:rPr>
                <w:rFonts w:asciiTheme="minorHAnsi" w:hAnsiTheme="minorHAnsi" w:cs="Arial"/>
                <w:sz w:val="20"/>
              </w:rPr>
              <w:t>Three-failures at 0.16%</w:t>
            </w:r>
            <w:r w:rsidR="002D5A0F">
              <w:rPr>
                <w:rFonts w:asciiTheme="minorHAnsi" w:hAnsiTheme="minorHAnsi" w:cs="Arial"/>
                <w:sz w:val="20"/>
              </w:rPr>
              <w:t>.</w:t>
            </w:r>
          </w:p>
          <w:p w14:paraId="71F2A424" w14:textId="0F4CB97E" w:rsidR="008E7A4F" w:rsidRPr="00E37EA2" w:rsidRDefault="008E7A4F" w:rsidP="00BE7C28">
            <w:pPr>
              <w:rPr>
                <w:rFonts w:asciiTheme="minorHAnsi" w:hAnsiTheme="minorHAnsi" w:cs="Arial"/>
                <w:sz w:val="20"/>
              </w:rPr>
            </w:pPr>
            <w:r w:rsidRPr="00E37EA2">
              <w:rPr>
                <w:rFonts w:asciiTheme="minorHAnsi" w:hAnsiTheme="minorHAnsi" w:cs="Arial"/>
                <w:sz w:val="20"/>
              </w:rPr>
              <w:t>Four failures at 0.5%</w:t>
            </w:r>
            <w:r w:rsidR="002D5A0F">
              <w:rPr>
                <w:rFonts w:asciiTheme="minorHAnsi" w:hAnsiTheme="minorHAnsi" w:cs="Arial"/>
                <w:sz w:val="20"/>
              </w:rPr>
              <w:t>.</w:t>
            </w:r>
          </w:p>
          <w:p w14:paraId="048FF9A9" w14:textId="0D74DC76" w:rsidR="008E7A4F" w:rsidRPr="00E37EA2" w:rsidRDefault="008E7A4F" w:rsidP="00BE7C28">
            <w:pPr>
              <w:rPr>
                <w:rFonts w:asciiTheme="minorHAnsi" w:hAnsiTheme="minorHAnsi" w:cs="Arial"/>
                <w:sz w:val="20"/>
              </w:rPr>
            </w:pPr>
            <w:r w:rsidRPr="00E37EA2">
              <w:rPr>
                <w:rFonts w:asciiTheme="minorHAnsi" w:hAnsiTheme="minorHAnsi" w:cs="Arial"/>
                <w:sz w:val="20"/>
              </w:rPr>
              <w:t>Five failures at 1.2%</w:t>
            </w:r>
            <w:r w:rsidR="002D5A0F">
              <w:rPr>
                <w:rFonts w:asciiTheme="minorHAnsi" w:hAnsiTheme="minorHAnsi" w:cs="Arial"/>
                <w:sz w:val="20"/>
              </w:rPr>
              <w:t>.</w:t>
            </w:r>
          </w:p>
          <w:p w14:paraId="2269702F" w14:textId="573A4B7F" w:rsidR="008E7A4F" w:rsidRPr="00E37EA2" w:rsidRDefault="008E7A4F" w:rsidP="00BE7C28">
            <w:pPr>
              <w:rPr>
                <w:rFonts w:asciiTheme="minorHAnsi" w:hAnsiTheme="minorHAnsi" w:cs="Arial"/>
                <w:sz w:val="20"/>
              </w:rPr>
            </w:pPr>
            <w:r w:rsidRPr="00E37EA2">
              <w:rPr>
                <w:rFonts w:asciiTheme="minorHAnsi" w:hAnsiTheme="minorHAnsi" w:cs="Arial"/>
                <w:sz w:val="20"/>
              </w:rPr>
              <w:t>Six at 2.4%</w:t>
            </w:r>
            <w:r w:rsidR="002D5A0F">
              <w:rPr>
                <w:rFonts w:asciiTheme="minorHAnsi" w:hAnsiTheme="minorHAnsi" w:cs="Arial"/>
                <w:sz w:val="20"/>
              </w:rPr>
              <w:t>.</w:t>
            </w:r>
          </w:p>
          <w:p w14:paraId="42017FDC" w14:textId="36C797EC" w:rsidR="008E7A4F" w:rsidRPr="00E37EA2" w:rsidRDefault="008E7A4F" w:rsidP="00BE7C28">
            <w:pPr>
              <w:rPr>
                <w:rFonts w:asciiTheme="minorHAnsi" w:hAnsiTheme="minorHAnsi" w:cs="Arial"/>
                <w:sz w:val="20"/>
              </w:rPr>
            </w:pPr>
            <w:r w:rsidRPr="00E37EA2">
              <w:rPr>
                <w:rFonts w:asciiTheme="minorHAnsi" w:hAnsiTheme="minorHAnsi" w:cs="Arial"/>
                <w:sz w:val="20"/>
              </w:rPr>
              <w:t>We would probably accept up to fi</w:t>
            </w:r>
            <w:r w:rsidR="00A64CB9">
              <w:rPr>
                <w:rFonts w:asciiTheme="minorHAnsi" w:hAnsiTheme="minorHAnsi" w:cs="Arial"/>
                <w:sz w:val="20"/>
              </w:rPr>
              <w:t xml:space="preserve">ve Integrity failures in a week </w:t>
            </w:r>
            <w:r w:rsidRPr="00E37EA2">
              <w:rPr>
                <w:rFonts w:asciiTheme="minorHAnsi" w:hAnsiTheme="minorHAnsi" w:cs="Arial"/>
                <w:sz w:val="20"/>
              </w:rPr>
              <w:t>and still determine that Integrity is better than 10</w:t>
            </w:r>
            <w:r w:rsidRPr="00E37EA2">
              <w:rPr>
                <w:rFonts w:asciiTheme="minorHAnsi" w:hAnsiTheme="minorHAnsi" w:cs="Arial"/>
                <w:sz w:val="20"/>
                <w:vertAlign w:val="superscript"/>
              </w:rPr>
              <w:t>-4</w:t>
            </w:r>
            <w:r w:rsidRPr="00E37EA2">
              <w:rPr>
                <w:rFonts w:asciiTheme="minorHAnsi" w:hAnsiTheme="minorHAnsi" w:cs="Arial"/>
                <w:sz w:val="20"/>
              </w:rPr>
              <w:t>. Five failures in 120k fixes is actually 4x10</w:t>
            </w:r>
            <w:r w:rsidRPr="00E37EA2">
              <w:rPr>
                <w:rFonts w:asciiTheme="minorHAnsi" w:hAnsiTheme="minorHAnsi" w:cs="Arial"/>
                <w:sz w:val="20"/>
                <w:vertAlign w:val="superscript"/>
              </w:rPr>
              <w:t>-5</w:t>
            </w:r>
            <w:r w:rsidRPr="00E37EA2">
              <w:rPr>
                <w:rFonts w:asciiTheme="minorHAnsi" w:hAnsiTheme="minorHAnsi" w:cs="Arial"/>
                <w:sz w:val="20"/>
              </w:rPr>
              <w:t xml:space="preserve"> Integrity.</w:t>
            </w:r>
          </w:p>
        </w:tc>
      </w:tr>
      <w:tr w:rsidR="008E7A4F" w:rsidRPr="002E6F0C" w14:paraId="110D1176" w14:textId="77777777" w:rsidTr="008E7A4F">
        <w:trPr>
          <w:jc w:val="center"/>
        </w:trPr>
        <w:tc>
          <w:tcPr>
            <w:tcW w:w="1572" w:type="dxa"/>
          </w:tcPr>
          <w:p w14:paraId="754EFF52"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14 days</w:t>
            </w:r>
          </w:p>
        </w:tc>
        <w:tc>
          <w:tcPr>
            <w:tcW w:w="1672" w:type="dxa"/>
          </w:tcPr>
          <w:p w14:paraId="72A5EB31"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241920</w:t>
            </w:r>
          </w:p>
        </w:tc>
        <w:tc>
          <w:tcPr>
            <w:tcW w:w="5682" w:type="dxa"/>
          </w:tcPr>
          <w:p w14:paraId="623CA11F"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Would accept up to 14 Integrity failures for 2.5% Confidence.</w:t>
            </w:r>
          </w:p>
          <w:p w14:paraId="4AFE18DF" w14:textId="2632EEEB" w:rsidR="008E7A4F" w:rsidRPr="00E37EA2" w:rsidRDefault="008E7A4F" w:rsidP="00BE7C28">
            <w:pPr>
              <w:rPr>
                <w:rFonts w:asciiTheme="minorHAnsi" w:hAnsiTheme="minorHAnsi" w:cs="Arial"/>
                <w:sz w:val="20"/>
              </w:rPr>
            </w:pPr>
            <w:r w:rsidRPr="00E37EA2">
              <w:rPr>
                <w:rFonts w:asciiTheme="minorHAnsi" w:hAnsiTheme="minorHAnsi" w:cs="Arial"/>
                <w:sz w:val="20"/>
              </w:rPr>
              <w:t>This is effectively 5.8x10</w:t>
            </w:r>
            <w:r w:rsidRPr="00E37EA2">
              <w:rPr>
                <w:rFonts w:asciiTheme="minorHAnsi" w:hAnsiTheme="minorHAnsi" w:cs="Arial"/>
                <w:sz w:val="20"/>
                <w:vertAlign w:val="superscript"/>
              </w:rPr>
              <w:t>-5</w:t>
            </w:r>
            <w:r w:rsidR="00A64CB9">
              <w:rPr>
                <w:rFonts w:asciiTheme="minorHAnsi" w:hAnsiTheme="minorHAnsi" w:cs="Arial"/>
                <w:sz w:val="20"/>
              </w:rPr>
              <w:t xml:space="preserve"> Integrity.</w:t>
            </w:r>
          </w:p>
        </w:tc>
      </w:tr>
      <w:tr w:rsidR="008E7A4F" w:rsidRPr="002E6F0C" w14:paraId="2C18023F" w14:textId="77777777" w:rsidTr="008E7A4F">
        <w:trPr>
          <w:jc w:val="center"/>
        </w:trPr>
        <w:tc>
          <w:tcPr>
            <w:tcW w:w="1572" w:type="dxa"/>
          </w:tcPr>
          <w:p w14:paraId="3D63854E"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30 days</w:t>
            </w:r>
          </w:p>
        </w:tc>
        <w:tc>
          <w:tcPr>
            <w:tcW w:w="1672" w:type="dxa"/>
          </w:tcPr>
          <w:p w14:paraId="2DFDC5F9"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520k</w:t>
            </w:r>
          </w:p>
        </w:tc>
        <w:tc>
          <w:tcPr>
            <w:tcW w:w="5682" w:type="dxa"/>
          </w:tcPr>
          <w:p w14:paraId="7BA0A39E"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37 failures allowable at 2.5% Confidence.</w:t>
            </w:r>
          </w:p>
          <w:p w14:paraId="5CB1CD26" w14:textId="0B04705C" w:rsidR="008E7A4F" w:rsidRPr="00E37EA2" w:rsidRDefault="008E7A4F" w:rsidP="00BE7C28">
            <w:pPr>
              <w:rPr>
                <w:rFonts w:asciiTheme="minorHAnsi" w:hAnsiTheme="minorHAnsi" w:cs="Arial"/>
                <w:sz w:val="20"/>
              </w:rPr>
            </w:pPr>
            <w:r w:rsidRPr="00E37EA2">
              <w:rPr>
                <w:rFonts w:asciiTheme="minorHAnsi" w:hAnsiTheme="minorHAnsi" w:cs="Arial"/>
                <w:sz w:val="20"/>
              </w:rPr>
              <w:t>Effectively 7x10</w:t>
            </w:r>
            <w:r w:rsidRPr="00E37EA2">
              <w:rPr>
                <w:rFonts w:asciiTheme="minorHAnsi" w:hAnsiTheme="minorHAnsi" w:cs="Arial"/>
                <w:sz w:val="20"/>
                <w:vertAlign w:val="superscript"/>
              </w:rPr>
              <w:t>-5</w:t>
            </w:r>
            <w:r w:rsidRPr="00E37EA2">
              <w:rPr>
                <w:rFonts w:asciiTheme="minorHAnsi" w:hAnsiTheme="minorHAnsi" w:cs="Arial"/>
                <w:sz w:val="20"/>
              </w:rPr>
              <w:t xml:space="preserve"> Integrity</w:t>
            </w:r>
            <w:r w:rsidR="00A64CB9">
              <w:rPr>
                <w:rFonts w:asciiTheme="minorHAnsi" w:hAnsiTheme="minorHAnsi" w:cs="Arial"/>
                <w:sz w:val="20"/>
              </w:rPr>
              <w:t>.</w:t>
            </w:r>
          </w:p>
        </w:tc>
      </w:tr>
      <w:tr w:rsidR="008E7A4F" w:rsidRPr="002E6F0C" w14:paraId="0112876C" w14:textId="77777777" w:rsidTr="008E7A4F">
        <w:trPr>
          <w:jc w:val="center"/>
        </w:trPr>
        <w:tc>
          <w:tcPr>
            <w:tcW w:w="1572" w:type="dxa"/>
          </w:tcPr>
          <w:p w14:paraId="301B03C1"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1 year</w:t>
            </w:r>
          </w:p>
        </w:tc>
        <w:tc>
          <w:tcPr>
            <w:tcW w:w="1672" w:type="dxa"/>
          </w:tcPr>
          <w:p w14:paraId="176BC6ED"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6.3M</w:t>
            </w:r>
          </w:p>
        </w:tc>
        <w:tc>
          <w:tcPr>
            <w:tcW w:w="5682" w:type="dxa"/>
          </w:tcPr>
          <w:p w14:paraId="1CBB3456"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Can use Normal Distribution approximation.</w:t>
            </w:r>
          </w:p>
          <w:p w14:paraId="54D39099"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Would ordinarily expect 630 failures in a year.</w:t>
            </w:r>
          </w:p>
          <w:p w14:paraId="535F10C0" w14:textId="619B6B9E" w:rsidR="008E7A4F" w:rsidRPr="00E37EA2" w:rsidRDefault="008E7A4F" w:rsidP="00BE7C28">
            <w:pPr>
              <w:rPr>
                <w:rFonts w:asciiTheme="minorHAnsi" w:hAnsiTheme="minorHAnsi" w:cs="Arial"/>
                <w:sz w:val="20"/>
              </w:rPr>
            </w:pPr>
            <w:r w:rsidRPr="00E37EA2">
              <w:rPr>
                <w:rFonts w:asciiTheme="minorHAnsi" w:hAnsiTheme="minorHAnsi" w:cs="Arial"/>
                <w:sz w:val="20"/>
              </w:rPr>
              <w:t>Our Confidence requirement is to have less than 581, which is an effective Integrity of 9.2x10</w:t>
            </w:r>
            <w:r w:rsidRPr="00E37EA2">
              <w:rPr>
                <w:rFonts w:asciiTheme="minorHAnsi" w:hAnsiTheme="minorHAnsi" w:cs="Arial"/>
                <w:sz w:val="20"/>
                <w:vertAlign w:val="superscript"/>
              </w:rPr>
              <w:t>-5</w:t>
            </w:r>
            <w:r w:rsidR="00A64CB9">
              <w:rPr>
                <w:rFonts w:asciiTheme="minorHAnsi" w:hAnsiTheme="minorHAnsi" w:cs="Arial"/>
                <w:sz w:val="20"/>
              </w:rPr>
              <w:t>.</w:t>
            </w:r>
          </w:p>
        </w:tc>
      </w:tr>
    </w:tbl>
    <w:p w14:paraId="3A55CE36" w14:textId="77777777" w:rsidR="00F85E2B" w:rsidRDefault="00F85E2B" w:rsidP="00834189">
      <w:pPr>
        <w:pStyle w:val="Reference"/>
        <w:numPr>
          <w:ilvl w:val="0"/>
          <w:numId w:val="0"/>
        </w:numPr>
      </w:pPr>
    </w:p>
    <w:p w14:paraId="5248C313" w14:textId="0C4F5E52" w:rsidR="008E7A4F" w:rsidRDefault="008E7A4F" w:rsidP="00834189">
      <w:pPr>
        <w:pStyle w:val="Reference"/>
        <w:numPr>
          <w:ilvl w:val="0"/>
          <w:numId w:val="0"/>
        </w:numPr>
      </w:pPr>
      <w:r w:rsidRPr="008E7A4F">
        <w:t>A large amount of data (&gt;1 year) is recommended to be collected, by shortening the data-collection time a price is paid that a more stringent level of Integrity must be demonstrated for the result to be significant. One year’s worth of data still pays this price, but 9.2x10</w:t>
      </w:r>
      <w:r w:rsidRPr="008E7A4F">
        <w:rPr>
          <w:szCs w:val="22"/>
          <w:vertAlign w:val="superscript"/>
        </w:rPr>
        <w:t>-5</w:t>
      </w:r>
      <w:r w:rsidRPr="008E7A4F">
        <w:t xml:space="preserve"> Integrity is probably an achievable result.</w:t>
      </w:r>
    </w:p>
    <w:p w14:paraId="0F5C4F41" w14:textId="77777777" w:rsidR="008E7A4F" w:rsidRDefault="008E7A4F" w:rsidP="00834189">
      <w:pPr>
        <w:pStyle w:val="Reference"/>
        <w:numPr>
          <w:ilvl w:val="0"/>
          <w:numId w:val="0"/>
        </w:numPr>
      </w:pPr>
    </w:p>
    <w:p w14:paraId="70873DD7" w14:textId="6DE156FD" w:rsidR="008E7A4F" w:rsidRDefault="008E7A4F" w:rsidP="008E7A4F">
      <w:pPr>
        <w:pStyle w:val="Annex"/>
        <w:numPr>
          <w:ilvl w:val="1"/>
          <w:numId w:val="3"/>
        </w:numPr>
        <w:ind w:left="432"/>
        <w:rPr>
          <w:rFonts w:asciiTheme="majorHAnsi" w:hAnsiTheme="majorHAnsi"/>
          <w:u w:val="none"/>
        </w:rPr>
      </w:pPr>
      <w:bookmarkStart w:id="96" w:name="_Toc336181815"/>
      <w:r>
        <w:rPr>
          <w:rFonts w:asciiTheme="majorHAnsi" w:hAnsiTheme="majorHAnsi"/>
          <w:i w:val="0"/>
          <w:u w:val="none"/>
        </w:rPr>
        <w:t>Continuity</w:t>
      </w:r>
      <w:r w:rsidRPr="00041BA6">
        <w:rPr>
          <w:rFonts w:asciiTheme="majorHAnsi" w:hAnsiTheme="majorHAnsi"/>
          <w:i w:val="0"/>
          <w:u w:val="none"/>
        </w:rPr>
        <w:t xml:space="preserve"> Verification</w:t>
      </w:r>
      <w:bookmarkEnd w:id="96"/>
      <w:r w:rsidRPr="00041BA6">
        <w:rPr>
          <w:rFonts w:asciiTheme="majorHAnsi" w:hAnsiTheme="majorHAnsi"/>
          <w:i w:val="0"/>
          <w:u w:val="none"/>
        </w:rPr>
        <w:t xml:space="preserve"> </w:t>
      </w:r>
    </w:p>
    <w:p w14:paraId="0CB756BD" w14:textId="7B1D036A" w:rsidR="008E7A4F" w:rsidRDefault="008E7A4F" w:rsidP="00834189">
      <w:pPr>
        <w:pStyle w:val="Reference"/>
        <w:numPr>
          <w:ilvl w:val="0"/>
          <w:numId w:val="0"/>
        </w:numPr>
      </w:pPr>
      <w:r w:rsidRPr="008E7A4F">
        <w:t>Continuity may be dealt with in one of two ways. Either assume a given probability, for each position-fix, that continuity will be lost (loss of positioning, or loss of RAIM) or deal with each Continuity Time Interval (CTI) as a single block, and assume a fixed probability for these intervals.</w:t>
      </w:r>
    </w:p>
    <w:p w14:paraId="56FF6E65" w14:textId="5E55DF57" w:rsidR="008E7A4F" w:rsidRPr="008E7A4F" w:rsidRDefault="008E7A4F" w:rsidP="008E7A4F">
      <w:pPr>
        <w:pStyle w:val="Reference"/>
        <w:numPr>
          <w:ilvl w:val="0"/>
          <w:numId w:val="0"/>
        </w:numPr>
      </w:pPr>
      <w:r w:rsidRPr="008E7A4F">
        <w:t>The second option is probably the most reliable way to handle Continuity, in part because of the calculation that needs to be done for a fixed probability per position-fixing epoch results in highly implausible figures. For example, if it is assumed that each epoch has chance ‘</w:t>
      </w:r>
      <w:r w:rsidRPr="008E7A4F">
        <w:rPr>
          <w:i/>
        </w:rPr>
        <w:t>p</w:t>
      </w:r>
      <w:r w:rsidRPr="008E7A4F">
        <w:t xml:space="preserve">’ of losing continuity. The requirement 99.97% continuity over 15 minutes means 180 consecutive epochs (15 minutes at 5-second epochs) have to preserve continuity with probability 0.9997, the calculation for </w:t>
      </w:r>
      <w:r w:rsidRPr="008E7A4F">
        <w:rPr>
          <w:i/>
        </w:rPr>
        <w:t>p</w:t>
      </w:r>
      <w:r w:rsidRPr="008E7A4F">
        <w:t xml:space="preserve"> is:</w:t>
      </w:r>
    </w:p>
    <w:p w14:paraId="203AEEA3" w14:textId="77777777" w:rsidR="008E7A4F" w:rsidRPr="008E7A4F" w:rsidRDefault="00FD1EC9" w:rsidP="008E7A4F">
      <w:pPr>
        <w:rPr>
          <w:rFonts w:ascii="Arial" w:hAnsi="Arial" w:cs="Arial"/>
          <w:sz w:val="22"/>
        </w:rPr>
      </w:pPr>
      <m:oMathPara>
        <m:oMath>
          <m:sSup>
            <m:sSupPr>
              <m:ctrlPr>
                <w:rPr>
                  <w:rFonts w:ascii="Cambria Math" w:hAnsi="Cambria Math" w:cs="Arial"/>
                  <w:i/>
                  <w:sz w:val="22"/>
                </w:rPr>
              </m:ctrlPr>
            </m:sSupPr>
            <m:e>
              <m:d>
                <m:dPr>
                  <m:ctrlPr>
                    <w:rPr>
                      <w:rFonts w:ascii="Cambria Math" w:hAnsi="Cambria Math" w:cs="Arial"/>
                      <w:i/>
                      <w:sz w:val="22"/>
                    </w:rPr>
                  </m:ctrlPr>
                </m:dPr>
                <m:e>
                  <m:r>
                    <w:rPr>
                      <w:rFonts w:ascii="Cambria Math" w:hAnsi="Cambria Math" w:cs="Arial"/>
                      <w:sz w:val="22"/>
                    </w:rPr>
                    <m:t>1-p</m:t>
                  </m:r>
                </m:e>
              </m:d>
            </m:e>
            <m:sup>
              <m:r>
                <w:rPr>
                  <w:rFonts w:ascii="Cambria Math" w:hAnsi="Cambria Math" w:cs="Arial"/>
                  <w:sz w:val="22"/>
                </w:rPr>
                <m:t>180</m:t>
              </m:r>
            </m:sup>
          </m:sSup>
          <m:r>
            <w:rPr>
              <w:rFonts w:ascii="Cambria Math" w:hAnsi="Cambria Math" w:cs="Arial"/>
              <w:sz w:val="22"/>
            </w:rPr>
            <m:t>=0.9997</m:t>
          </m:r>
        </m:oMath>
      </m:oMathPara>
    </w:p>
    <w:p w14:paraId="0FE1A3CE" w14:textId="77777777" w:rsidR="008E7A4F" w:rsidRPr="002E6F0C" w:rsidRDefault="008E7A4F" w:rsidP="008E7A4F">
      <w:pPr>
        <w:rPr>
          <w:rFonts w:ascii="Arial" w:hAnsi="Arial" w:cs="Arial"/>
        </w:rPr>
      </w:pPr>
    </w:p>
    <w:p w14:paraId="2FBB1E6F" w14:textId="31E3C088" w:rsidR="008E7A4F" w:rsidRDefault="008E7A4F" w:rsidP="00834189">
      <w:pPr>
        <w:pStyle w:val="Reference"/>
        <w:numPr>
          <w:ilvl w:val="0"/>
          <w:numId w:val="0"/>
        </w:numPr>
      </w:pPr>
      <w:r w:rsidRPr="008E7A4F">
        <w:t xml:space="preserve">Solving for p results in </w:t>
      </w:r>
      <w:r w:rsidRPr="008E7A4F">
        <w:rPr>
          <w:i/>
        </w:rPr>
        <w:t>p</w:t>
      </w:r>
      <w:r w:rsidRPr="008E7A4F">
        <w:t xml:space="preserve"> = 1.7x10</w:t>
      </w:r>
      <w:r w:rsidRPr="008E7A4F">
        <w:rPr>
          <w:szCs w:val="22"/>
          <w:vertAlign w:val="superscript"/>
        </w:rPr>
        <w:t>-6</w:t>
      </w:r>
      <w:r w:rsidRPr="008E7A4F">
        <w:t xml:space="preserve"> chance of Continuity loss. This is much more stringent than even our Integrity requirement. The implication is that we would rather see HMI than get an Integrity ‘yellow light’, which is clearly nonsense!</w:t>
      </w:r>
    </w:p>
    <w:p w14:paraId="736B895A" w14:textId="367B054E" w:rsidR="008E7A4F" w:rsidRDefault="008E7A4F" w:rsidP="00834189">
      <w:pPr>
        <w:pStyle w:val="Reference"/>
        <w:numPr>
          <w:ilvl w:val="0"/>
          <w:numId w:val="0"/>
        </w:numPr>
      </w:pPr>
      <w:r w:rsidRPr="008E7A4F">
        <w:t>The ‘sense’ in all this is that Continuity losses are more likely to be due to transmitter off-airs, where loss of position-fixing geometry (reducing the number of transmitters down to 3, for instance) means RAIM becomes unusable. These losses will be grouped together in outage intervals, so perhaps should not be thought of as events occurring at random on each epoch. A better statistical treatment of Continuity is to consider each CTI as individual ‘units’ and treat these with the Binomial distribution. Even so, the assumption is being made that these are independent blocks, and (unrealistically) that a transmitter outage would not span more than one block.</w:t>
      </w:r>
    </w:p>
    <w:p w14:paraId="228D704D" w14:textId="77777777" w:rsidR="008E7A4F" w:rsidRDefault="008E7A4F" w:rsidP="008E7A4F">
      <w:pPr>
        <w:pStyle w:val="Reference"/>
        <w:numPr>
          <w:ilvl w:val="0"/>
          <w:numId w:val="0"/>
        </w:numPr>
      </w:pPr>
      <w:r>
        <w:t>H0: Probability of continuity in each CTI is 99.97%</w:t>
      </w:r>
    </w:p>
    <w:p w14:paraId="5640A157" w14:textId="2719EE80" w:rsidR="008E7A4F" w:rsidRDefault="008E7A4F" w:rsidP="008E7A4F">
      <w:pPr>
        <w:pStyle w:val="Reference"/>
        <w:numPr>
          <w:ilvl w:val="0"/>
          <w:numId w:val="0"/>
        </w:numPr>
      </w:pPr>
      <w:r>
        <w:t>H1: Probability of continuity in each CTI is better than 99.97%.</w:t>
      </w:r>
    </w:p>
    <w:p w14:paraId="14240540" w14:textId="4D878228" w:rsidR="008E7A4F" w:rsidRDefault="008E7A4F" w:rsidP="008E7A4F">
      <w:pPr>
        <w:pStyle w:val="Reference"/>
        <w:numPr>
          <w:ilvl w:val="0"/>
          <w:numId w:val="0"/>
        </w:numPr>
      </w:pPr>
      <w:r w:rsidRPr="008E7A4F">
        <w:t xml:space="preserve">Assuming H0, it is expected that one in every 3333 CTIs will have a continuity failure – this is approximately once a month. At minimum it is required to gather a month’s worth of data to determine Continuity with any degree of confidence. Apply the Binomial distribution, assuming </w:t>
      </w:r>
      <w:r w:rsidRPr="008E7A4F">
        <w:rPr>
          <w:i/>
        </w:rPr>
        <w:t>p</w:t>
      </w:r>
      <w:r w:rsidRPr="008E7A4F">
        <w:t xml:space="preserve"> = 0.9997 to find out how many CTIs have to show continuity to be considered significant. The results are outlined in the table below:</w:t>
      </w:r>
    </w:p>
    <w:p w14:paraId="5957760C" w14:textId="77777777" w:rsidR="008E7A4F" w:rsidRDefault="008E7A4F" w:rsidP="008E7A4F">
      <w:pPr>
        <w:pStyle w:val="Caption"/>
        <w:keepNext/>
      </w:pPr>
    </w:p>
    <w:p w14:paraId="6361C9CF" w14:textId="421D10B6" w:rsidR="008E7A4F" w:rsidRDefault="008E7A4F" w:rsidP="008E7A4F">
      <w:pPr>
        <w:pStyle w:val="Caption"/>
        <w:keepNext/>
      </w:pPr>
      <w:r>
        <w:t>Table A. 3.</w:t>
      </w:r>
      <w:r w:rsidRPr="00220BD4">
        <w:rPr>
          <w:u w:val="none"/>
        </w:rPr>
        <w:t xml:space="preserve">    </w:t>
      </w:r>
      <w:r w:rsidRPr="008E7A4F">
        <w:rPr>
          <w:u w:val="none"/>
        </w:rPr>
        <w:t>Duration of measurement period versus statistical significance for continuity verification (assuming 5 seconds per fix)</w:t>
      </w:r>
    </w:p>
    <w:p w14:paraId="6D651159" w14:textId="77777777" w:rsidR="008E7A4F" w:rsidRPr="008E7A4F" w:rsidRDefault="008E7A4F" w:rsidP="008E7A4F"/>
    <w:tbl>
      <w:tblPr>
        <w:tblStyle w:val="TableGrid"/>
        <w:tblW w:w="0" w:type="auto"/>
        <w:jc w:val="center"/>
        <w:tblLook w:val="04A0" w:firstRow="1" w:lastRow="0" w:firstColumn="1" w:lastColumn="0" w:noHBand="0" w:noVBand="1"/>
      </w:tblPr>
      <w:tblGrid>
        <w:gridCol w:w="1410"/>
        <w:gridCol w:w="1561"/>
        <w:gridCol w:w="5671"/>
      </w:tblGrid>
      <w:tr w:rsidR="008E7A4F" w:rsidRPr="002E6F0C" w14:paraId="3B50E120" w14:textId="77777777" w:rsidTr="008E7A4F">
        <w:trPr>
          <w:jc w:val="center"/>
        </w:trPr>
        <w:tc>
          <w:tcPr>
            <w:tcW w:w="1410" w:type="dxa"/>
          </w:tcPr>
          <w:p w14:paraId="39880801" w14:textId="77777777" w:rsidR="008E7A4F" w:rsidRPr="00E37EA2" w:rsidRDefault="008E7A4F" w:rsidP="00BE7C28">
            <w:pPr>
              <w:keepNext/>
              <w:rPr>
                <w:rFonts w:cs="Arial"/>
                <w:b/>
                <w:color w:val="6787C4" w:themeColor="accent5"/>
                <w:sz w:val="20"/>
                <w:szCs w:val="20"/>
              </w:rPr>
            </w:pPr>
            <w:r w:rsidRPr="00E37EA2">
              <w:rPr>
                <w:rFonts w:cs="Arial"/>
                <w:b/>
                <w:color w:val="6787C4" w:themeColor="accent5"/>
                <w:sz w:val="20"/>
                <w:szCs w:val="20"/>
              </w:rPr>
              <w:t>Time Interval</w:t>
            </w:r>
          </w:p>
        </w:tc>
        <w:tc>
          <w:tcPr>
            <w:tcW w:w="1561" w:type="dxa"/>
          </w:tcPr>
          <w:p w14:paraId="32A7E73B" w14:textId="77777777" w:rsidR="008E7A4F" w:rsidRPr="00E37EA2" w:rsidRDefault="008E7A4F" w:rsidP="00BE7C28">
            <w:pPr>
              <w:keepNext/>
              <w:rPr>
                <w:rFonts w:cs="Arial"/>
                <w:b/>
                <w:color w:val="6787C4" w:themeColor="accent5"/>
                <w:sz w:val="20"/>
                <w:szCs w:val="20"/>
              </w:rPr>
            </w:pPr>
            <w:r w:rsidRPr="00E37EA2">
              <w:rPr>
                <w:rFonts w:cs="Arial"/>
                <w:b/>
                <w:color w:val="6787C4" w:themeColor="accent5"/>
                <w:sz w:val="20"/>
                <w:szCs w:val="20"/>
              </w:rPr>
              <w:t>Number of CTI</w:t>
            </w:r>
          </w:p>
        </w:tc>
        <w:tc>
          <w:tcPr>
            <w:tcW w:w="5671" w:type="dxa"/>
          </w:tcPr>
          <w:p w14:paraId="6E5E863E" w14:textId="77777777" w:rsidR="008E7A4F" w:rsidRPr="00E37EA2" w:rsidRDefault="008E7A4F" w:rsidP="00BE7C28">
            <w:pPr>
              <w:keepNext/>
              <w:rPr>
                <w:rFonts w:cs="Arial"/>
                <w:b/>
                <w:color w:val="6787C4" w:themeColor="accent5"/>
                <w:sz w:val="20"/>
                <w:szCs w:val="20"/>
              </w:rPr>
            </w:pPr>
            <w:r w:rsidRPr="00E37EA2">
              <w:rPr>
                <w:rFonts w:cs="Arial"/>
                <w:b/>
                <w:color w:val="6787C4" w:themeColor="accent5"/>
                <w:sz w:val="20"/>
                <w:szCs w:val="20"/>
              </w:rPr>
              <w:t>Notes</w:t>
            </w:r>
          </w:p>
        </w:tc>
      </w:tr>
      <w:tr w:rsidR="008E7A4F" w:rsidRPr="002E6F0C" w14:paraId="5DD93350" w14:textId="77777777" w:rsidTr="008E7A4F">
        <w:trPr>
          <w:jc w:val="center"/>
        </w:trPr>
        <w:tc>
          <w:tcPr>
            <w:tcW w:w="1410" w:type="dxa"/>
          </w:tcPr>
          <w:p w14:paraId="28D951FB" w14:textId="77777777" w:rsidR="008E7A4F" w:rsidRPr="00E37EA2" w:rsidRDefault="008E7A4F" w:rsidP="00BE7C28">
            <w:pPr>
              <w:keepNext/>
              <w:rPr>
                <w:rFonts w:cs="Arial"/>
                <w:sz w:val="20"/>
                <w:szCs w:val="20"/>
              </w:rPr>
            </w:pPr>
            <w:r w:rsidRPr="00E37EA2">
              <w:rPr>
                <w:rFonts w:cs="Arial"/>
                <w:sz w:val="20"/>
                <w:szCs w:val="20"/>
              </w:rPr>
              <w:t>1 month</w:t>
            </w:r>
          </w:p>
        </w:tc>
        <w:tc>
          <w:tcPr>
            <w:tcW w:w="1561" w:type="dxa"/>
          </w:tcPr>
          <w:p w14:paraId="342ADD5B" w14:textId="77777777" w:rsidR="008E7A4F" w:rsidRPr="00E37EA2" w:rsidRDefault="008E7A4F" w:rsidP="00BE7C28">
            <w:pPr>
              <w:keepNext/>
              <w:rPr>
                <w:rFonts w:cs="Arial"/>
                <w:sz w:val="20"/>
                <w:szCs w:val="20"/>
              </w:rPr>
            </w:pPr>
            <w:r w:rsidRPr="00E37EA2">
              <w:rPr>
                <w:rFonts w:cs="Arial"/>
                <w:sz w:val="20"/>
                <w:szCs w:val="20"/>
              </w:rPr>
              <w:t>2880</w:t>
            </w:r>
          </w:p>
        </w:tc>
        <w:tc>
          <w:tcPr>
            <w:tcW w:w="5671" w:type="dxa"/>
          </w:tcPr>
          <w:p w14:paraId="6B7AB75C" w14:textId="227C81D0" w:rsidR="008E7A4F" w:rsidRPr="00E37EA2" w:rsidRDefault="008E7A4F" w:rsidP="00BE7C28">
            <w:pPr>
              <w:keepNext/>
              <w:rPr>
                <w:rFonts w:cs="Arial"/>
                <w:sz w:val="20"/>
                <w:szCs w:val="20"/>
              </w:rPr>
            </w:pPr>
            <w:r w:rsidRPr="00E37EA2">
              <w:rPr>
                <w:rFonts w:cs="Arial"/>
                <w:sz w:val="20"/>
                <w:szCs w:val="20"/>
              </w:rPr>
              <w:t>42% chance of all-clear under H0, no chance of significance</w:t>
            </w:r>
            <w:r w:rsidR="00A64CB9">
              <w:rPr>
                <w:rFonts w:cs="Arial"/>
                <w:sz w:val="20"/>
                <w:szCs w:val="20"/>
              </w:rPr>
              <w:t>.</w:t>
            </w:r>
          </w:p>
        </w:tc>
      </w:tr>
      <w:tr w:rsidR="008E7A4F" w:rsidRPr="002E6F0C" w14:paraId="12351ED4" w14:textId="77777777" w:rsidTr="008E7A4F">
        <w:trPr>
          <w:jc w:val="center"/>
        </w:trPr>
        <w:tc>
          <w:tcPr>
            <w:tcW w:w="1410" w:type="dxa"/>
          </w:tcPr>
          <w:p w14:paraId="70927DAB" w14:textId="77777777" w:rsidR="008E7A4F" w:rsidRPr="00E37EA2" w:rsidRDefault="008E7A4F" w:rsidP="00BE7C28">
            <w:pPr>
              <w:keepNext/>
              <w:rPr>
                <w:rFonts w:cs="Arial"/>
                <w:sz w:val="20"/>
                <w:szCs w:val="20"/>
              </w:rPr>
            </w:pPr>
            <w:r w:rsidRPr="00E37EA2">
              <w:rPr>
                <w:rFonts w:cs="Arial"/>
                <w:sz w:val="20"/>
                <w:szCs w:val="20"/>
              </w:rPr>
              <w:t>2 months</w:t>
            </w:r>
          </w:p>
        </w:tc>
        <w:tc>
          <w:tcPr>
            <w:tcW w:w="1561" w:type="dxa"/>
          </w:tcPr>
          <w:p w14:paraId="3EEC01C2" w14:textId="77777777" w:rsidR="008E7A4F" w:rsidRPr="00E37EA2" w:rsidRDefault="008E7A4F" w:rsidP="00BE7C28">
            <w:pPr>
              <w:keepNext/>
              <w:rPr>
                <w:rFonts w:cs="Arial"/>
                <w:sz w:val="20"/>
                <w:szCs w:val="20"/>
              </w:rPr>
            </w:pPr>
            <w:r w:rsidRPr="00E37EA2">
              <w:rPr>
                <w:rFonts w:cs="Arial"/>
                <w:sz w:val="20"/>
                <w:szCs w:val="20"/>
              </w:rPr>
              <w:t>5760</w:t>
            </w:r>
          </w:p>
        </w:tc>
        <w:tc>
          <w:tcPr>
            <w:tcW w:w="5671" w:type="dxa"/>
          </w:tcPr>
          <w:p w14:paraId="7F0C3408" w14:textId="1D8CD43E" w:rsidR="008E7A4F" w:rsidRPr="00E37EA2" w:rsidRDefault="008E7A4F" w:rsidP="00BE7C28">
            <w:pPr>
              <w:keepNext/>
              <w:rPr>
                <w:rFonts w:cs="Arial"/>
                <w:sz w:val="20"/>
                <w:szCs w:val="20"/>
              </w:rPr>
            </w:pPr>
            <w:r w:rsidRPr="00E37EA2">
              <w:rPr>
                <w:rFonts w:cs="Arial"/>
                <w:sz w:val="20"/>
                <w:szCs w:val="20"/>
              </w:rPr>
              <w:t>17.8% chance of all-clear under H0</w:t>
            </w:r>
            <w:r w:rsidR="00A64CB9">
              <w:rPr>
                <w:rFonts w:cs="Arial"/>
                <w:sz w:val="20"/>
                <w:szCs w:val="20"/>
              </w:rPr>
              <w:t>.</w:t>
            </w:r>
          </w:p>
        </w:tc>
      </w:tr>
      <w:tr w:rsidR="008E7A4F" w:rsidRPr="002E6F0C" w14:paraId="34EC63E6" w14:textId="77777777" w:rsidTr="008E7A4F">
        <w:trPr>
          <w:jc w:val="center"/>
        </w:trPr>
        <w:tc>
          <w:tcPr>
            <w:tcW w:w="1410" w:type="dxa"/>
          </w:tcPr>
          <w:p w14:paraId="1AEC71AD" w14:textId="77777777" w:rsidR="008E7A4F" w:rsidRPr="00E37EA2" w:rsidRDefault="008E7A4F" w:rsidP="00BE7C28">
            <w:pPr>
              <w:keepNext/>
              <w:rPr>
                <w:rFonts w:cs="Arial"/>
                <w:sz w:val="20"/>
                <w:szCs w:val="20"/>
              </w:rPr>
            </w:pPr>
            <w:r w:rsidRPr="00E37EA2">
              <w:rPr>
                <w:rFonts w:cs="Arial"/>
                <w:sz w:val="20"/>
                <w:szCs w:val="20"/>
              </w:rPr>
              <w:t>1 Quarter</w:t>
            </w:r>
          </w:p>
          <w:p w14:paraId="7BD1B856" w14:textId="77777777" w:rsidR="008E7A4F" w:rsidRPr="00E37EA2" w:rsidRDefault="008E7A4F" w:rsidP="00BE7C28">
            <w:pPr>
              <w:keepNext/>
              <w:rPr>
                <w:rFonts w:cs="Arial"/>
                <w:sz w:val="20"/>
                <w:szCs w:val="20"/>
              </w:rPr>
            </w:pPr>
            <w:r w:rsidRPr="00E37EA2">
              <w:rPr>
                <w:rFonts w:cs="Arial"/>
                <w:sz w:val="20"/>
                <w:szCs w:val="20"/>
              </w:rPr>
              <w:t>(3 months)</w:t>
            </w:r>
          </w:p>
        </w:tc>
        <w:tc>
          <w:tcPr>
            <w:tcW w:w="1561" w:type="dxa"/>
          </w:tcPr>
          <w:p w14:paraId="3799A7D0" w14:textId="77777777" w:rsidR="008E7A4F" w:rsidRPr="00E37EA2" w:rsidRDefault="008E7A4F" w:rsidP="00BE7C28">
            <w:pPr>
              <w:keepNext/>
              <w:rPr>
                <w:rFonts w:cs="Arial"/>
                <w:sz w:val="20"/>
                <w:szCs w:val="20"/>
              </w:rPr>
            </w:pPr>
            <w:r w:rsidRPr="00E37EA2">
              <w:rPr>
                <w:rFonts w:cs="Arial"/>
                <w:sz w:val="20"/>
                <w:szCs w:val="20"/>
              </w:rPr>
              <w:t>8640</w:t>
            </w:r>
          </w:p>
        </w:tc>
        <w:tc>
          <w:tcPr>
            <w:tcW w:w="5671" w:type="dxa"/>
          </w:tcPr>
          <w:p w14:paraId="1CC7B80C" w14:textId="3EB71388" w:rsidR="008E7A4F" w:rsidRPr="00E37EA2" w:rsidRDefault="008E7A4F" w:rsidP="00BE7C28">
            <w:pPr>
              <w:keepNext/>
              <w:rPr>
                <w:rFonts w:cs="Arial"/>
                <w:sz w:val="20"/>
                <w:szCs w:val="20"/>
              </w:rPr>
            </w:pPr>
            <w:r w:rsidRPr="00E37EA2">
              <w:rPr>
                <w:rFonts w:cs="Arial"/>
                <w:sz w:val="20"/>
                <w:szCs w:val="20"/>
              </w:rPr>
              <w:t>7.5% chance of all-clear</w:t>
            </w:r>
            <w:r w:rsidR="00A64CB9">
              <w:rPr>
                <w:rFonts w:cs="Arial"/>
                <w:sz w:val="20"/>
                <w:szCs w:val="20"/>
              </w:rPr>
              <w:t>.</w:t>
            </w:r>
          </w:p>
        </w:tc>
      </w:tr>
      <w:tr w:rsidR="008E7A4F" w:rsidRPr="002E6F0C" w14:paraId="16D82B86" w14:textId="77777777" w:rsidTr="008E7A4F">
        <w:trPr>
          <w:jc w:val="center"/>
        </w:trPr>
        <w:tc>
          <w:tcPr>
            <w:tcW w:w="1410" w:type="dxa"/>
          </w:tcPr>
          <w:p w14:paraId="6BC14997" w14:textId="77777777" w:rsidR="008E7A4F" w:rsidRPr="00E37EA2" w:rsidRDefault="008E7A4F" w:rsidP="00BE7C28">
            <w:pPr>
              <w:keepNext/>
              <w:rPr>
                <w:rFonts w:cs="Arial"/>
                <w:sz w:val="20"/>
                <w:szCs w:val="20"/>
              </w:rPr>
            </w:pPr>
            <w:r w:rsidRPr="00E37EA2">
              <w:rPr>
                <w:rFonts w:cs="Arial"/>
                <w:sz w:val="20"/>
                <w:szCs w:val="20"/>
              </w:rPr>
              <w:t>6 months</w:t>
            </w:r>
          </w:p>
        </w:tc>
        <w:tc>
          <w:tcPr>
            <w:tcW w:w="1561" w:type="dxa"/>
          </w:tcPr>
          <w:p w14:paraId="71311A4B" w14:textId="77777777" w:rsidR="008E7A4F" w:rsidRPr="00E37EA2" w:rsidRDefault="008E7A4F" w:rsidP="00BE7C28">
            <w:pPr>
              <w:keepNext/>
              <w:rPr>
                <w:rFonts w:cs="Arial"/>
                <w:sz w:val="20"/>
                <w:szCs w:val="20"/>
              </w:rPr>
            </w:pPr>
            <w:r w:rsidRPr="00E37EA2">
              <w:rPr>
                <w:rFonts w:cs="Arial"/>
                <w:sz w:val="20"/>
                <w:szCs w:val="20"/>
              </w:rPr>
              <w:t>17280</w:t>
            </w:r>
          </w:p>
        </w:tc>
        <w:tc>
          <w:tcPr>
            <w:tcW w:w="5671" w:type="dxa"/>
          </w:tcPr>
          <w:p w14:paraId="03CA9394" w14:textId="10752D6A" w:rsidR="008E7A4F" w:rsidRPr="00E37EA2" w:rsidRDefault="008E7A4F" w:rsidP="00BE7C28">
            <w:pPr>
              <w:keepNext/>
              <w:rPr>
                <w:rFonts w:cs="Arial"/>
                <w:sz w:val="20"/>
                <w:szCs w:val="20"/>
              </w:rPr>
            </w:pPr>
            <w:r w:rsidRPr="00E37EA2">
              <w:rPr>
                <w:rFonts w:cs="Arial"/>
                <w:sz w:val="20"/>
                <w:szCs w:val="20"/>
              </w:rPr>
              <w:t>0.56% chance of all-clear</w:t>
            </w:r>
            <w:r w:rsidR="00A64CB9">
              <w:rPr>
                <w:rFonts w:cs="Arial"/>
                <w:sz w:val="20"/>
                <w:szCs w:val="20"/>
              </w:rPr>
              <w:t>.</w:t>
            </w:r>
          </w:p>
          <w:p w14:paraId="0D8C50A3" w14:textId="7A5BE949" w:rsidR="008E7A4F" w:rsidRPr="00E37EA2" w:rsidRDefault="008E7A4F" w:rsidP="00BE7C28">
            <w:pPr>
              <w:keepNext/>
              <w:rPr>
                <w:rFonts w:cs="Arial"/>
                <w:sz w:val="20"/>
                <w:szCs w:val="20"/>
              </w:rPr>
            </w:pPr>
            <w:r w:rsidRPr="00E37EA2">
              <w:rPr>
                <w:rFonts w:cs="Arial"/>
                <w:sz w:val="20"/>
                <w:szCs w:val="20"/>
              </w:rPr>
              <w:t>2.9% chance of one failure</w:t>
            </w:r>
            <w:r w:rsidR="00A64CB9">
              <w:rPr>
                <w:rFonts w:cs="Arial"/>
                <w:sz w:val="20"/>
                <w:szCs w:val="20"/>
              </w:rPr>
              <w:t>.</w:t>
            </w:r>
          </w:p>
          <w:p w14:paraId="5AFE35B6" w14:textId="3311950C" w:rsidR="008E7A4F" w:rsidRPr="00E37EA2" w:rsidRDefault="008E7A4F" w:rsidP="00BE7C28">
            <w:pPr>
              <w:keepNext/>
              <w:rPr>
                <w:rFonts w:cs="Arial"/>
                <w:sz w:val="20"/>
                <w:szCs w:val="20"/>
              </w:rPr>
            </w:pPr>
            <w:r w:rsidRPr="00E37EA2">
              <w:rPr>
                <w:rFonts w:cs="Arial"/>
                <w:sz w:val="20"/>
                <w:szCs w:val="20"/>
              </w:rPr>
              <w:t>7.5% chance of two failures</w:t>
            </w:r>
            <w:r w:rsidR="00A64CB9">
              <w:rPr>
                <w:rFonts w:cs="Arial"/>
                <w:sz w:val="20"/>
                <w:szCs w:val="20"/>
              </w:rPr>
              <w:t>.</w:t>
            </w:r>
          </w:p>
          <w:p w14:paraId="655F5F4E" w14:textId="77777777" w:rsidR="008E7A4F" w:rsidRPr="00E37EA2" w:rsidRDefault="008E7A4F" w:rsidP="00BE7C28">
            <w:pPr>
              <w:keepNext/>
              <w:rPr>
                <w:rFonts w:cs="Arial"/>
                <w:sz w:val="20"/>
                <w:szCs w:val="20"/>
              </w:rPr>
            </w:pPr>
            <w:r w:rsidRPr="00E37EA2">
              <w:rPr>
                <w:rFonts w:cs="Arial"/>
                <w:sz w:val="20"/>
                <w:szCs w:val="20"/>
              </w:rPr>
              <w:t>We would accept 6 months of all-clear as significant at 2.5%, and allow one continuity outage at 5% confidence.</w:t>
            </w:r>
          </w:p>
        </w:tc>
      </w:tr>
      <w:tr w:rsidR="008E7A4F" w:rsidRPr="002E6F0C" w14:paraId="6636AE72" w14:textId="77777777" w:rsidTr="008E7A4F">
        <w:trPr>
          <w:jc w:val="center"/>
        </w:trPr>
        <w:tc>
          <w:tcPr>
            <w:tcW w:w="1410" w:type="dxa"/>
          </w:tcPr>
          <w:p w14:paraId="7E0A74A4" w14:textId="77777777" w:rsidR="008E7A4F" w:rsidRPr="00E37EA2" w:rsidRDefault="008E7A4F" w:rsidP="00BE7C28">
            <w:pPr>
              <w:keepNext/>
              <w:rPr>
                <w:rFonts w:cs="Arial"/>
                <w:sz w:val="20"/>
                <w:szCs w:val="20"/>
              </w:rPr>
            </w:pPr>
            <w:r w:rsidRPr="00E37EA2">
              <w:rPr>
                <w:rFonts w:cs="Arial"/>
                <w:sz w:val="20"/>
                <w:szCs w:val="20"/>
              </w:rPr>
              <w:t>12months</w:t>
            </w:r>
          </w:p>
        </w:tc>
        <w:tc>
          <w:tcPr>
            <w:tcW w:w="1561" w:type="dxa"/>
          </w:tcPr>
          <w:p w14:paraId="7229A3EC" w14:textId="77777777" w:rsidR="008E7A4F" w:rsidRPr="00E37EA2" w:rsidRDefault="008E7A4F" w:rsidP="00BE7C28">
            <w:pPr>
              <w:keepNext/>
              <w:rPr>
                <w:rFonts w:cs="Arial"/>
                <w:sz w:val="20"/>
                <w:szCs w:val="20"/>
              </w:rPr>
            </w:pPr>
            <w:r w:rsidRPr="00E37EA2">
              <w:rPr>
                <w:rFonts w:cs="Arial"/>
                <w:sz w:val="20"/>
                <w:szCs w:val="20"/>
              </w:rPr>
              <w:t>35k</w:t>
            </w:r>
          </w:p>
        </w:tc>
        <w:tc>
          <w:tcPr>
            <w:tcW w:w="5671" w:type="dxa"/>
          </w:tcPr>
          <w:p w14:paraId="428287C0" w14:textId="448FCD31" w:rsidR="008E7A4F" w:rsidRPr="00E37EA2" w:rsidRDefault="008E7A4F" w:rsidP="00BE7C28">
            <w:pPr>
              <w:keepNext/>
              <w:rPr>
                <w:rFonts w:cs="Arial"/>
                <w:sz w:val="20"/>
                <w:szCs w:val="20"/>
              </w:rPr>
            </w:pPr>
            <w:r w:rsidRPr="00E37EA2">
              <w:rPr>
                <w:rFonts w:cs="Arial"/>
                <w:sz w:val="20"/>
                <w:szCs w:val="20"/>
              </w:rPr>
              <w:t>0.0027% chance of all-clear</w:t>
            </w:r>
            <w:r w:rsidR="00A64CB9">
              <w:rPr>
                <w:rFonts w:cs="Arial"/>
                <w:sz w:val="20"/>
                <w:szCs w:val="20"/>
              </w:rPr>
              <w:t>.</w:t>
            </w:r>
          </w:p>
          <w:p w14:paraId="249EA3B3" w14:textId="5BBFB6DA" w:rsidR="008E7A4F" w:rsidRPr="00E37EA2" w:rsidRDefault="008E7A4F" w:rsidP="00BE7C28">
            <w:pPr>
              <w:keepNext/>
              <w:rPr>
                <w:rFonts w:cs="Arial"/>
                <w:sz w:val="20"/>
                <w:szCs w:val="20"/>
              </w:rPr>
            </w:pPr>
            <w:r w:rsidRPr="00E37EA2">
              <w:rPr>
                <w:rFonts w:cs="Arial"/>
                <w:sz w:val="20"/>
                <w:szCs w:val="20"/>
              </w:rPr>
              <w:t>0.028% for one outage</w:t>
            </w:r>
            <w:r w:rsidR="00A64CB9">
              <w:rPr>
                <w:rFonts w:cs="Arial"/>
                <w:sz w:val="20"/>
                <w:szCs w:val="20"/>
              </w:rPr>
              <w:t>.</w:t>
            </w:r>
          </w:p>
          <w:p w14:paraId="74FAC06C" w14:textId="64D6B22B" w:rsidR="008E7A4F" w:rsidRPr="00E37EA2" w:rsidRDefault="008E7A4F" w:rsidP="00BE7C28">
            <w:pPr>
              <w:keepNext/>
              <w:rPr>
                <w:rFonts w:cs="Arial"/>
                <w:sz w:val="20"/>
                <w:szCs w:val="20"/>
              </w:rPr>
            </w:pPr>
            <w:r w:rsidRPr="00E37EA2">
              <w:rPr>
                <w:rFonts w:cs="Arial"/>
                <w:sz w:val="20"/>
                <w:szCs w:val="20"/>
              </w:rPr>
              <w:t>0.15% for two outages</w:t>
            </w:r>
            <w:r w:rsidR="00A64CB9">
              <w:rPr>
                <w:rFonts w:cs="Arial"/>
                <w:sz w:val="20"/>
                <w:szCs w:val="20"/>
              </w:rPr>
              <w:t>.</w:t>
            </w:r>
          </w:p>
          <w:p w14:paraId="52B4EA7E" w14:textId="1B7E07D2" w:rsidR="008E7A4F" w:rsidRPr="00E37EA2" w:rsidRDefault="008E7A4F" w:rsidP="00BE7C28">
            <w:pPr>
              <w:keepNext/>
              <w:rPr>
                <w:rFonts w:cs="Arial"/>
                <w:sz w:val="20"/>
                <w:szCs w:val="20"/>
              </w:rPr>
            </w:pPr>
            <w:r w:rsidRPr="00E37EA2">
              <w:rPr>
                <w:rFonts w:cs="Arial"/>
                <w:sz w:val="20"/>
                <w:szCs w:val="20"/>
              </w:rPr>
              <w:t>0.53% for three outages</w:t>
            </w:r>
            <w:r w:rsidR="00A64CB9">
              <w:rPr>
                <w:rFonts w:cs="Arial"/>
                <w:sz w:val="20"/>
                <w:szCs w:val="20"/>
              </w:rPr>
              <w:t>.</w:t>
            </w:r>
          </w:p>
          <w:p w14:paraId="0194B5F9" w14:textId="4CFEC1DB" w:rsidR="008E7A4F" w:rsidRPr="00E37EA2" w:rsidRDefault="008E7A4F" w:rsidP="00BE7C28">
            <w:pPr>
              <w:keepNext/>
              <w:rPr>
                <w:rFonts w:cs="Arial"/>
                <w:sz w:val="20"/>
                <w:szCs w:val="20"/>
              </w:rPr>
            </w:pPr>
            <w:r w:rsidRPr="00E37EA2">
              <w:rPr>
                <w:rFonts w:cs="Arial"/>
                <w:sz w:val="20"/>
                <w:szCs w:val="20"/>
              </w:rPr>
              <w:t>1.38% for four outages</w:t>
            </w:r>
            <w:r w:rsidR="00A64CB9">
              <w:rPr>
                <w:rFonts w:cs="Arial"/>
                <w:sz w:val="20"/>
                <w:szCs w:val="20"/>
              </w:rPr>
              <w:t>.</w:t>
            </w:r>
          </w:p>
          <w:p w14:paraId="4115CEE6" w14:textId="645FBBBC" w:rsidR="008E7A4F" w:rsidRPr="00E37EA2" w:rsidRDefault="008E7A4F" w:rsidP="00BE7C28">
            <w:pPr>
              <w:keepNext/>
              <w:rPr>
                <w:rFonts w:cs="Arial"/>
                <w:sz w:val="20"/>
                <w:szCs w:val="20"/>
              </w:rPr>
            </w:pPr>
            <w:r w:rsidRPr="00E37EA2">
              <w:rPr>
                <w:rFonts w:cs="Arial"/>
                <w:sz w:val="20"/>
                <w:szCs w:val="20"/>
              </w:rPr>
              <w:t>2.91% for five outages</w:t>
            </w:r>
            <w:r w:rsidR="00A64CB9">
              <w:rPr>
                <w:rFonts w:cs="Arial"/>
                <w:sz w:val="20"/>
                <w:szCs w:val="20"/>
              </w:rPr>
              <w:t>.</w:t>
            </w:r>
          </w:p>
          <w:p w14:paraId="7CAF254B" w14:textId="77777777" w:rsidR="008E7A4F" w:rsidRPr="00E37EA2" w:rsidRDefault="008E7A4F" w:rsidP="00BE7C28">
            <w:pPr>
              <w:keepNext/>
              <w:rPr>
                <w:rFonts w:cs="Arial"/>
                <w:sz w:val="20"/>
                <w:szCs w:val="20"/>
              </w:rPr>
            </w:pPr>
            <w:r w:rsidRPr="00E37EA2">
              <w:rPr>
                <w:rFonts w:cs="Arial"/>
                <w:sz w:val="20"/>
                <w:szCs w:val="20"/>
              </w:rPr>
              <w:t>At 2.5% significance we would probably allow up to four continuity outages in a year. This is 99.99% continuity.</w:t>
            </w:r>
          </w:p>
        </w:tc>
      </w:tr>
      <w:tr w:rsidR="008E7A4F" w:rsidRPr="002E6F0C" w14:paraId="71E2C0D6" w14:textId="77777777" w:rsidTr="008E7A4F">
        <w:trPr>
          <w:jc w:val="center"/>
        </w:trPr>
        <w:tc>
          <w:tcPr>
            <w:tcW w:w="1410" w:type="dxa"/>
          </w:tcPr>
          <w:p w14:paraId="5ACF4386" w14:textId="77777777" w:rsidR="008E7A4F" w:rsidRPr="00E37EA2" w:rsidRDefault="008E7A4F" w:rsidP="00BE7C28">
            <w:pPr>
              <w:keepNext/>
              <w:rPr>
                <w:rFonts w:cs="Arial"/>
                <w:sz w:val="20"/>
                <w:szCs w:val="20"/>
              </w:rPr>
            </w:pPr>
            <w:r w:rsidRPr="00E37EA2">
              <w:rPr>
                <w:rFonts w:cs="Arial"/>
                <w:sz w:val="20"/>
                <w:szCs w:val="20"/>
              </w:rPr>
              <w:t>24 months</w:t>
            </w:r>
          </w:p>
        </w:tc>
        <w:tc>
          <w:tcPr>
            <w:tcW w:w="1561" w:type="dxa"/>
          </w:tcPr>
          <w:p w14:paraId="5C5E4C09" w14:textId="77777777" w:rsidR="008E7A4F" w:rsidRPr="00E37EA2" w:rsidRDefault="008E7A4F" w:rsidP="00BE7C28">
            <w:pPr>
              <w:keepNext/>
              <w:rPr>
                <w:rFonts w:cs="Arial"/>
                <w:sz w:val="20"/>
                <w:szCs w:val="20"/>
              </w:rPr>
            </w:pPr>
            <w:r w:rsidRPr="00E37EA2">
              <w:rPr>
                <w:rFonts w:cs="Arial"/>
                <w:sz w:val="20"/>
                <w:szCs w:val="20"/>
              </w:rPr>
              <w:t>70k</w:t>
            </w:r>
          </w:p>
        </w:tc>
        <w:tc>
          <w:tcPr>
            <w:tcW w:w="5671" w:type="dxa"/>
          </w:tcPr>
          <w:p w14:paraId="2897E5BD" w14:textId="77777777" w:rsidR="008E7A4F" w:rsidRPr="00E37EA2" w:rsidRDefault="008E7A4F" w:rsidP="00BE7C28">
            <w:pPr>
              <w:keepNext/>
              <w:rPr>
                <w:rFonts w:cs="Arial"/>
                <w:sz w:val="20"/>
                <w:szCs w:val="20"/>
              </w:rPr>
            </w:pPr>
            <w:r w:rsidRPr="00E37EA2">
              <w:rPr>
                <w:rFonts w:cs="Arial"/>
                <w:sz w:val="20"/>
                <w:szCs w:val="20"/>
              </w:rPr>
              <w:t>Probably allow Normal approximation for 2 years of data. We would expect 21 outages in this time-period under H0.</w:t>
            </w:r>
          </w:p>
          <w:p w14:paraId="66554FC9" w14:textId="77777777" w:rsidR="008E7A4F" w:rsidRPr="00E37EA2" w:rsidRDefault="008E7A4F" w:rsidP="00BE7C28">
            <w:pPr>
              <w:keepNext/>
              <w:rPr>
                <w:rFonts w:cs="Arial"/>
                <w:sz w:val="20"/>
                <w:szCs w:val="20"/>
              </w:rPr>
            </w:pPr>
            <w:r w:rsidRPr="00E37EA2">
              <w:rPr>
                <w:rFonts w:cs="Arial"/>
                <w:sz w:val="20"/>
                <w:szCs w:val="20"/>
              </w:rPr>
              <w:t>2.5% significance would be fewer than 12 outages in total. This is 99.983% ‘effective’ continuity.</w:t>
            </w:r>
          </w:p>
        </w:tc>
      </w:tr>
    </w:tbl>
    <w:p w14:paraId="1F6644DF" w14:textId="77777777" w:rsidR="00BE7C28" w:rsidRDefault="00BE7C28" w:rsidP="008E7A4F">
      <w:pPr>
        <w:pStyle w:val="Reference"/>
        <w:numPr>
          <w:ilvl w:val="0"/>
          <w:numId w:val="0"/>
        </w:numPr>
      </w:pPr>
    </w:p>
    <w:p w14:paraId="44EA162E" w14:textId="430484C5" w:rsidR="008E7A4F" w:rsidRDefault="00BE7C28" w:rsidP="008E7A4F">
      <w:pPr>
        <w:pStyle w:val="Reference"/>
        <w:numPr>
          <w:ilvl w:val="0"/>
          <w:numId w:val="0"/>
        </w:numPr>
      </w:pPr>
      <w:r w:rsidRPr="00BE7C28">
        <w:t>Note that there is a significant gain to be had by increasing the period of data-collection. In the first six months of a year it would be appropriate to only consider declaring continuity had been met with an all-clear (or possibly one outage). Taking the next six months in isolation, again an all-clear (or possibly one outage) would be required. However, combining the two half-years into one continuous data-collection period of 12 months, would allow up to four outages in total. Doubling the monitoring period again allows up to 12 outages (rather than two lots of 4 if the two years were treated as being separate).</w:t>
      </w:r>
    </w:p>
    <w:p w14:paraId="39FB92BE" w14:textId="4F88D870" w:rsidR="00BE7C28" w:rsidRDefault="00BE7C28" w:rsidP="008E7A4F">
      <w:pPr>
        <w:pStyle w:val="Reference"/>
        <w:numPr>
          <w:ilvl w:val="0"/>
          <w:numId w:val="0"/>
        </w:numPr>
      </w:pPr>
      <w:r w:rsidRPr="00BE7C28">
        <w:t>Continuity is by far the most difficult requirement as the specification stands. Two years’ worth of data are required in order to demonstrate results with any degree of significance. Even so, the continuity level needed for significance is approximately twice our requirement. The ‘budget’ for significant non-continuity is 0.0172% at the two years’ worth of data level. Compare that to the base requirement of 0.03% non-continuity.</w:t>
      </w:r>
    </w:p>
    <w:p w14:paraId="2037D7D8" w14:textId="725DBEB6" w:rsidR="00794145" w:rsidRPr="00794145" w:rsidRDefault="00794145" w:rsidP="00794145">
      <w:pPr>
        <w:pStyle w:val="Heading3"/>
        <w:numPr>
          <w:ilvl w:val="0"/>
          <w:numId w:val="0"/>
        </w:numPr>
      </w:pPr>
      <w:bookmarkStart w:id="97" w:name="_Toc462321073"/>
      <w:bookmarkStart w:id="98" w:name="_Toc336181816"/>
      <w:r>
        <w:t>A.5.1 Compatibility with Integrity Requirement</w:t>
      </w:r>
      <w:bookmarkEnd w:id="97"/>
      <w:bookmarkEnd w:id="98"/>
    </w:p>
    <w:p w14:paraId="1E23FDFD" w14:textId="2AAE0619" w:rsidR="00794145" w:rsidRPr="00A64CB9" w:rsidRDefault="00794145" w:rsidP="00794145">
      <w:pPr>
        <w:pStyle w:val="Reference"/>
        <w:numPr>
          <w:ilvl w:val="0"/>
          <w:numId w:val="0"/>
        </w:numPr>
        <w:jc w:val="both"/>
      </w:pPr>
      <w:r w:rsidRPr="00A64CB9">
        <w:t>A by-product of the toughness of the Continuity requirement is in how Integrity warnings (and HMI) must be handled by the Continuity calculation. In two years’ worth of data, we expect 21 Continuity outages to occur. It is easy to see that if HMI and Integrity ‘red lights’ are also counted as Continuity failures that this is an almost impossibly difficult requirement to place on any system. At 10</w:t>
      </w:r>
      <w:r w:rsidRPr="00A64CB9">
        <w:rPr>
          <w:vertAlign w:val="superscript"/>
        </w:rPr>
        <w:t>-4</w:t>
      </w:r>
      <w:r w:rsidRPr="00A64CB9">
        <w:t xml:space="preserve"> Integrity we would expect 1261 incidents of HMI. In the same period, if we allocate 0.02% of the Availability ‘budget’ to the Integrity Monitor, we would also expect roughly 2500 Integrity false-alarms.</w:t>
      </w:r>
    </w:p>
    <w:p w14:paraId="65D38B41" w14:textId="77777777" w:rsidR="00794145" w:rsidRPr="00A64CB9" w:rsidRDefault="00794145" w:rsidP="00794145">
      <w:pPr>
        <w:pStyle w:val="Reference"/>
        <w:numPr>
          <w:ilvl w:val="0"/>
          <w:numId w:val="0"/>
        </w:numPr>
        <w:jc w:val="both"/>
      </w:pPr>
      <w:r w:rsidRPr="00A64CB9">
        <w:t>It might be reasonable to accept that HMI usually occurs when transmitters go off-air (as accuracy, and also Integrity are reduced) so we can allow that most of these 1200 HMI incidents will group together into the 21 Continuity outage periods, corresponding to unplanned transmitter outages.</w:t>
      </w:r>
    </w:p>
    <w:p w14:paraId="1F0B99E8" w14:textId="29999E89" w:rsidR="00794145" w:rsidRPr="00A64CB9" w:rsidRDefault="00794145" w:rsidP="00794145">
      <w:pPr>
        <w:pStyle w:val="Reference"/>
        <w:numPr>
          <w:ilvl w:val="0"/>
          <w:numId w:val="0"/>
        </w:numPr>
        <w:jc w:val="both"/>
      </w:pPr>
      <w:r w:rsidRPr="00A64CB9">
        <w:t>It is a harder prospect to insist that Integrity False-Alarms also occur only when there are transmitter outages. We would have to insist that the Integrity monitor probability-of-false-alarm PFA when the system is operating without fault be almost zero. Certainly if we allocate these 21 outages as being either due to a transmitter off-air, or due to an Integrity false-alarm we might allow roughly 50% of each. Ten (10) Integrity false-alarms in 2 years corresponds to a probability of 8x10</w:t>
      </w:r>
      <w:r w:rsidRPr="00A64CB9">
        <w:rPr>
          <w:vertAlign w:val="superscript"/>
        </w:rPr>
        <w:t>-7</w:t>
      </w:r>
      <w:r w:rsidRPr="00A64CB9">
        <w:t xml:space="preserve"> or significantly lower even than our Integrity requirement of 10</w:t>
      </w:r>
      <w:r w:rsidRPr="00A64CB9">
        <w:rPr>
          <w:vertAlign w:val="superscript"/>
        </w:rPr>
        <w:t>-4</w:t>
      </w:r>
      <w:r w:rsidRPr="00A64CB9">
        <w:t xml:space="preserve">. It does not make any sense that HMI is a considerably more favourable outcome (by a factor of about 120) than False-Alarm. </w:t>
      </w:r>
    </w:p>
    <w:p w14:paraId="2E8220E9" w14:textId="77777777" w:rsidR="00794145" w:rsidRPr="00A64CB9" w:rsidRDefault="00794145" w:rsidP="00794145">
      <w:pPr>
        <w:pStyle w:val="Reference"/>
        <w:numPr>
          <w:ilvl w:val="0"/>
          <w:numId w:val="0"/>
        </w:numPr>
        <w:jc w:val="both"/>
      </w:pPr>
      <w:r w:rsidRPr="00A64CB9">
        <w:t>Faced with this requirement, the only conclusion is that the only rational Integrity Monitor is one where the green light is wired “on” permanently, and the red light is disconnected permanently, any incident of HMI simply to be absorbed into the 10</w:t>
      </w:r>
      <w:r w:rsidRPr="00A64CB9">
        <w:rPr>
          <w:vertAlign w:val="superscript"/>
        </w:rPr>
        <w:t>-4</w:t>
      </w:r>
      <w:r w:rsidRPr="00A64CB9">
        <w:t xml:space="preserve"> budget. This setup would no-doubt get closer to the requirements than any algorithm actually attempting to detect Integrity hazards! </w:t>
      </w:r>
    </w:p>
    <w:p w14:paraId="19604AD8" w14:textId="47B1F895" w:rsidR="00794145" w:rsidRPr="00A64CB9" w:rsidRDefault="00794145" w:rsidP="00A64CB9">
      <w:pPr>
        <w:pStyle w:val="Reference"/>
        <w:numPr>
          <w:ilvl w:val="0"/>
          <w:numId w:val="0"/>
        </w:numPr>
        <w:jc w:val="both"/>
        <w:rPr>
          <w:b/>
        </w:rPr>
      </w:pPr>
      <w:r w:rsidRPr="00A64CB9">
        <w:rPr>
          <w:b/>
        </w:rPr>
        <w:t xml:space="preserve">It is proposed that further work is required to establish the compatibility between the required performance parameters integrity and continuity, and their respective IMO definitions. </w:t>
      </w:r>
    </w:p>
    <w:p w14:paraId="29891BD1" w14:textId="77777777" w:rsidR="00651B86" w:rsidRDefault="00651B86" w:rsidP="008E7A4F">
      <w:pPr>
        <w:pStyle w:val="Reference"/>
        <w:numPr>
          <w:ilvl w:val="0"/>
          <w:numId w:val="0"/>
        </w:numPr>
      </w:pPr>
    </w:p>
    <w:p w14:paraId="73CB88A6" w14:textId="77777777" w:rsidR="00651B86" w:rsidRPr="00651B86" w:rsidRDefault="00651B86" w:rsidP="00651B86">
      <w:pPr>
        <w:pStyle w:val="Annex"/>
        <w:numPr>
          <w:ilvl w:val="1"/>
          <w:numId w:val="3"/>
        </w:numPr>
        <w:ind w:left="432"/>
        <w:rPr>
          <w:rFonts w:asciiTheme="majorHAnsi" w:hAnsiTheme="majorHAnsi"/>
          <w:u w:val="none"/>
        </w:rPr>
      </w:pPr>
      <w:bookmarkStart w:id="99" w:name="_Toc336181817"/>
      <w:r w:rsidRPr="00651B86">
        <w:rPr>
          <w:rFonts w:asciiTheme="majorHAnsi" w:hAnsiTheme="majorHAnsi"/>
          <w:i w:val="0"/>
          <w:u w:val="none"/>
        </w:rPr>
        <w:t>Conclusions</w:t>
      </w:r>
      <w:bookmarkEnd w:id="99"/>
    </w:p>
    <w:p w14:paraId="027ACAE6" w14:textId="02F42A38" w:rsidR="00651B86" w:rsidRPr="00651B86" w:rsidRDefault="00651B86" w:rsidP="00651B86">
      <w:pPr>
        <w:pStyle w:val="Annex"/>
        <w:numPr>
          <w:ilvl w:val="2"/>
          <w:numId w:val="3"/>
        </w:numPr>
        <w:ind w:left="504"/>
        <w:rPr>
          <w:rFonts w:asciiTheme="majorHAnsi" w:hAnsiTheme="majorHAnsi"/>
          <w:sz w:val="24"/>
          <w:szCs w:val="24"/>
          <w:u w:val="none"/>
        </w:rPr>
      </w:pPr>
      <w:r w:rsidRPr="00651B86">
        <w:rPr>
          <w:rFonts w:asciiTheme="majorHAnsi" w:hAnsiTheme="majorHAnsi"/>
          <w:i w:val="0"/>
          <w:sz w:val="24"/>
          <w:szCs w:val="24"/>
          <w:u w:val="none"/>
        </w:rPr>
        <w:t xml:space="preserve"> </w:t>
      </w:r>
      <w:bookmarkStart w:id="100" w:name="_Toc336181818"/>
      <w:r w:rsidRPr="00651B86">
        <w:rPr>
          <w:rFonts w:asciiTheme="majorHAnsi" w:hAnsiTheme="majorHAnsi"/>
          <w:i w:val="0"/>
          <w:sz w:val="24"/>
          <w:szCs w:val="24"/>
          <w:u w:val="none"/>
        </w:rPr>
        <w:t>Accuracy</w:t>
      </w:r>
      <w:bookmarkEnd w:id="100"/>
    </w:p>
    <w:p w14:paraId="0BFCF61F" w14:textId="2C3C2853" w:rsidR="00651B86" w:rsidRDefault="00651B86" w:rsidP="008E7A4F">
      <w:pPr>
        <w:pStyle w:val="Reference"/>
        <w:numPr>
          <w:ilvl w:val="0"/>
          <w:numId w:val="0"/>
        </w:numPr>
      </w:pPr>
      <w:r w:rsidRPr="00651B86">
        <w:t>To achieve statistical significance for Accuracy, the system must effectively demonstrate a tighter level of accuracy than the base requirement. The degree to which the demonstration must ‘over shoot’ its target depends on how much data is gathered, longer data-collection windows allow for an ‘easier’ target.</w:t>
      </w:r>
    </w:p>
    <w:p w14:paraId="1AE3CB1A" w14:textId="6AC28B1D" w:rsidR="00651B86" w:rsidRDefault="00651B86" w:rsidP="008E7A4F">
      <w:pPr>
        <w:pStyle w:val="Reference"/>
        <w:numPr>
          <w:ilvl w:val="0"/>
          <w:numId w:val="0"/>
        </w:numPr>
      </w:pPr>
      <w:r w:rsidRPr="00651B86">
        <w:t>In reality this is not going to be the biggest issue. The practical task of verifying eLoran accuracy has more to do with demonstrating that the seasonal variations in signal-propagation and ASF do not adversely affect the positioning accuracy throughout the year. It would be difficult to choose a ‘worst month’ to verify in advance without knowing which month that is.</w:t>
      </w:r>
    </w:p>
    <w:p w14:paraId="437731F6" w14:textId="77777777" w:rsidR="00651B86" w:rsidRDefault="00651B86" w:rsidP="008E7A4F">
      <w:pPr>
        <w:pStyle w:val="Reference"/>
        <w:numPr>
          <w:ilvl w:val="0"/>
          <w:numId w:val="0"/>
        </w:numPr>
      </w:pPr>
    </w:p>
    <w:p w14:paraId="691074CB" w14:textId="5E3228D2" w:rsidR="00651B86" w:rsidRPr="00651B86" w:rsidRDefault="00651B86" w:rsidP="00651B86">
      <w:pPr>
        <w:pStyle w:val="Annex"/>
        <w:numPr>
          <w:ilvl w:val="2"/>
          <w:numId w:val="3"/>
        </w:numPr>
        <w:ind w:left="504"/>
        <w:rPr>
          <w:rFonts w:asciiTheme="majorHAnsi" w:hAnsiTheme="majorHAnsi"/>
          <w:i w:val="0"/>
          <w:sz w:val="24"/>
          <w:szCs w:val="24"/>
          <w:u w:val="none"/>
        </w:rPr>
      </w:pPr>
      <w:bookmarkStart w:id="101" w:name="_Toc336181819"/>
      <w:r w:rsidRPr="00651B86">
        <w:rPr>
          <w:rFonts w:asciiTheme="majorHAnsi" w:hAnsiTheme="majorHAnsi"/>
          <w:i w:val="0"/>
          <w:sz w:val="24"/>
          <w:szCs w:val="24"/>
          <w:u w:val="none"/>
        </w:rPr>
        <w:t>A</w:t>
      </w:r>
      <w:r>
        <w:rPr>
          <w:rFonts w:asciiTheme="majorHAnsi" w:hAnsiTheme="majorHAnsi"/>
          <w:i w:val="0"/>
          <w:sz w:val="24"/>
          <w:szCs w:val="24"/>
          <w:u w:val="none"/>
        </w:rPr>
        <w:t>vailability</w:t>
      </w:r>
      <w:bookmarkEnd w:id="101"/>
    </w:p>
    <w:p w14:paraId="4EC48973" w14:textId="22B3C23A" w:rsidR="00651B86" w:rsidRDefault="00651B86" w:rsidP="008E7A4F">
      <w:pPr>
        <w:pStyle w:val="Reference"/>
        <w:numPr>
          <w:ilvl w:val="0"/>
          <w:numId w:val="0"/>
        </w:numPr>
      </w:pPr>
      <w:r w:rsidRPr="00651B86">
        <w:t>The statistical treatment of Availability is much like accuracy, and gathering a short data-collection set effectively makes the target Availability requirement higher.</w:t>
      </w:r>
    </w:p>
    <w:p w14:paraId="6335762D" w14:textId="307A4D2A" w:rsidR="00651B86" w:rsidRDefault="00651B86" w:rsidP="008E7A4F">
      <w:pPr>
        <w:pStyle w:val="Reference"/>
        <w:numPr>
          <w:ilvl w:val="0"/>
          <w:numId w:val="0"/>
        </w:numPr>
      </w:pPr>
      <w:r w:rsidRPr="00651B86">
        <w:t>Again, as with accuracy the issue is probably not going to be statistically significant, but to do with the fact that eLoran availability should be demonstrated in all seasons, and under varying signal propagation conditions. A short data-set may ‘demonstrate’ Availability under the stated conditions, but would not be particularly believable to an eLoran engineer, who would know to expect significant seasonal variation.</w:t>
      </w:r>
    </w:p>
    <w:p w14:paraId="01F4F230" w14:textId="77777777" w:rsidR="00651B86" w:rsidRDefault="00651B86" w:rsidP="008E7A4F">
      <w:pPr>
        <w:pStyle w:val="Reference"/>
        <w:numPr>
          <w:ilvl w:val="0"/>
          <w:numId w:val="0"/>
        </w:numPr>
      </w:pPr>
    </w:p>
    <w:p w14:paraId="05AABBD8" w14:textId="5343786C" w:rsidR="00651B86" w:rsidRPr="00651B86" w:rsidRDefault="00651B86" w:rsidP="00651B86">
      <w:pPr>
        <w:pStyle w:val="Annex"/>
        <w:numPr>
          <w:ilvl w:val="2"/>
          <w:numId w:val="3"/>
        </w:numPr>
        <w:ind w:left="504"/>
        <w:rPr>
          <w:rFonts w:asciiTheme="majorHAnsi" w:hAnsiTheme="majorHAnsi"/>
          <w:i w:val="0"/>
          <w:sz w:val="24"/>
          <w:szCs w:val="24"/>
          <w:u w:val="none"/>
        </w:rPr>
      </w:pPr>
      <w:bookmarkStart w:id="102" w:name="_Toc336181820"/>
      <w:r>
        <w:rPr>
          <w:rFonts w:asciiTheme="majorHAnsi" w:hAnsiTheme="majorHAnsi"/>
          <w:i w:val="0"/>
          <w:sz w:val="24"/>
          <w:szCs w:val="24"/>
          <w:u w:val="none"/>
        </w:rPr>
        <w:t>Integrity</w:t>
      </w:r>
      <w:bookmarkEnd w:id="102"/>
    </w:p>
    <w:p w14:paraId="60C877D9" w14:textId="1733F2BB" w:rsidR="00651B86" w:rsidRDefault="00651B86" w:rsidP="008E7A4F">
      <w:pPr>
        <w:pStyle w:val="Reference"/>
        <w:numPr>
          <w:ilvl w:val="0"/>
          <w:numId w:val="0"/>
        </w:numPr>
      </w:pPr>
      <w:r w:rsidRPr="00651B86">
        <w:t>If a short data-collection window is used then the ‘target’ Integrity performance needed to declare significance is increased greatly. Even allowing for a year’s worth of data-collection, a system requirement of 10</w:t>
      </w:r>
      <w:r w:rsidRPr="00651B86">
        <w:rPr>
          <w:szCs w:val="22"/>
          <w:vertAlign w:val="superscript"/>
        </w:rPr>
        <w:t>-4</w:t>
      </w:r>
      <w:r w:rsidRPr="00651B86">
        <w:t xml:space="preserve"> Integrity means the data-sample must over-shoot its target by about 10% and show 9x10</w:t>
      </w:r>
      <w:r w:rsidRPr="00651B86">
        <w:rPr>
          <w:szCs w:val="22"/>
          <w:vertAlign w:val="superscript"/>
        </w:rPr>
        <w:t>-5</w:t>
      </w:r>
      <w:r w:rsidRPr="00651B86">
        <w:t xml:space="preserve"> Integrity in order to be considered statistically significant. This is plausible and would be a reasonable way to test the system.</w:t>
      </w:r>
    </w:p>
    <w:p w14:paraId="029558D2" w14:textId="77777777" w:rsidR="00651B86" w:rsidRDefault="00651B86" w:rsidP="008E7A4F">
      <w:pPr>
        <w:pStyle w:val="Reference"/>
        <w:numPr>
          <w:ilvl w:val="0"/>
          <w:numId w:val="0"/>
        </w:numPr>
      </w:pPr>
    </w:p>
    <w:p w14:paraId="79FD05EF" w14:textId="0A0739D8" w:rsidR="00651B86" w:rsidRPr="00651B86" w:rsidRDefault="00651B86" w:rsidP="00651B86">
      <w:pPr>
        <w:pStyle w:val="Annex"/>
        <w:numPr>
          <w:ilvl w:val="2"/>
          <w:numId w:val="3"/>
        </w:numPr>
        <w:ind w:left="504"/>
        <w:rPr>
          <w:rFonts w:asciiTheme="majorHAnsi" w:hAnsiTheme="majorHAnsi"/>
          <w:i w:val="0"/>
          <w:sz w:val="24"/>
          <w:szCs w:val="24"/>
          <w:u w:val="none"/>
        </w:rPr>
      </w:pPr>
      <w:bookmarkStart w:id="103" w:name="_Toc336181821"/>
      <w:r>
        <w:rPr>
          <w:rFonts w:asciiTheme="majorHAnsi" w:hAnsiTheme="majorHAnsi"/>
          <w:i w:val="0"/>
          <w:sz w:val="24"/>
          <w:szCs w:val="24"/>
          <w:u w:val="none"/>
        </w:rPr>
        <w:t>Continuity</w:t>
      </w:r>
      <w:bookmarkEnd w:id="103"/>
    </w:p>
    <w:p w14:paraId="6B569529" w14:textId="77777777" w:rsidR="00651B86" w:rsidRDefault="00651B86" w:rsidP="00651B86">
      <w:pPr>
        <w:pStyle w:val="Reference"/>
        <w:numPr>
          <w:ilvl w:val="0"/>
          <w:numId w:val="0"/>
        </w:numPr>
      </w:pPr>
      <w:r>
        <w:t>Continuity is a very difficult requirement, and again there is the same dependency between the length of the data-collection window and difficulty of the target. If the collection window is too short then even a ‘perfect record’ does not significantly indicate the system meets the requirement.</w:t>
      </w:r>
    </w:p>
    <w:p w14:paraId="367D24E4" w14:textId="73A52D38" w:rsidR="00651B86" w:rsidRDefault="00651B86" w:rsidP="00651B86">
      <w:pPr>
        <w:pStyle w:val="Reference"/>
        <w:numPr>
          <w:ilvl w:val="0"/>
          <w:numId w:val="0"/>
        </w:numPr>
      </w:pPr>
      <w:r>
        <w:t>Even with a 2 year data-record, the data-sample must demonstrate 99.983% Continuity to verify the system meets the requirement at 2.5% Confidence. Note that this is a higher requirement than the base IMO requirement of 99.97%.</w:t>
      </w:r>
    </w:p>
    <w:p w14:paraId="2392EB77" w14:textId="77777777" w:rsidR="00651B86" w:rsidRDefault="00651B86" w:rsidP="00651B86">
      <w:pPr>
        <w:pStyle w:val="Reference"/>
        <w:numPr>
          <w:ilvl w:val="0"/>
          <w:numId w:val="0"/>
        </w:numPr>
      </w:pPr>
    </w:p>
    <w:p w14:paraId="0A1203D9" w14:textId="1CF8D9A6" w:rsidR="00651B86" w:rsidRPr="00651B86" w:rsidRDefault="00651B86" w:rsidP="00651B86">
      <w:pPr>
        <w:pStyle w:val="Annex"/>
        <w:numPr>
          <w:ilvl w:val="2"/>
          <w:numId w:val="3"/>
        </w:numPr>
        <w:ind w:left="504"/>
        <w:rPr>
          <w:rFonts w:asciiTheme="majorHAnsi" w:hAnsiTheme="majorHAnsi"/>
          <w:i w:val="0"/>
          <w:sz w:val="24"/>
          <w:szCs w:val="24"/>
          <w:u w:val="none"/>
        </w:rPr>
      </w:pPr>
      <w:bookmarkStart w:id="104" w:name="_Toc336181822"/>
      <w:r>
        <w:rPr>
          <w:rFonts w:asciiTheme="majorHAnsi" w:hAnsiTheme="majorHAnsi"/>
          <w:i w:val="0"/>
          <w:sz w:val="24"/>
          <w:szCs w:val="24"/>
          <w:u w:val="none"/>
        </w:rPr>
        <w:t>Results</w:t>
      </w:r>
      <w:bookmarkEnd w:id="104"/>
    </w:p>
    <w:p w14:paraId="59EFA7C2" w14:textId="77777777" w:rsidR="00651B86" w:rsidRDefault="00651B86" w:rsidP="00651B86">
      <w:pPr>
        <w:pStyle w:val="Reference"/>
        <w:numPr>
          <w:ilvl w:val="0"/>
          <w:numId w:val="0"/>
        </w:numPr>
      </w:pPr>
      <w:r>
        <w:t>It is recommended that at least 12 months of data is collected to verify eLoran system performance under varying seasonal conditions. Arguments may be made regarding the statistical significance of Accuracy and Availability data gathered over shorter periods of time, but these neglect underlying physical properties of the system.</w:t>
      </w:r>
    </w:p>
    <w:p w14:paraId="5A03B403" w14:textId="77777777" w:rsidR="00651B86" w:rsidRDefault="00651B86" w:rsidP="00651B86">
      <w:pPr>
        <w:pStyle w:val="Reference"/>
        <w:numPr>
          <w:ilvl w:val="0"/>
          <w:numId w:val="0"/>
        </w:numPr>
      </w:pPr>
      <w:r>
        <w:t>Verifying Integrity and Continuity at a reasonable confidence level will require a long data-set no matter how the argument is phrased. One year is recommended as a minimum. It is probably not possible to verify eLoran Continuity at the level of the stated IMO performance-requirements with anything less than 2 years of data or more.</w:t>
      </w:r>
    </w:p>
    <w:p w14:paraId="5EEF15EE" w14:textId="77777777" w:rsidR="00651B86" w:rsidRDefault="00651B86" w:rsidP="008E7A4F">
      <w:pPr>
        <w:pStyle w:val="Reference"/>
        <w:numPr>
          <w:ilvl w:val="0"/>
          <w:numId w:val="0"/>
        </w:numPr>
      </w:pPr>
    </w:p>
    <w:p w14:paraId="152924DA" w14:textId="77777777" w:rsidR="00651B86" w:rsidRPr="00220BD4" w:rsidRDefault="00651B86" w:rsidP="008E7A4F">
      <w:pPr>
        <w:pStyle w:val="Reference"/>
        <w:numPr>
          <w:ilvl w:val="0"/>
          <w:numId w:val="0"/>
        </w:numPr>
      </w:pPr>
    </w:p>
    <w:sectPr w:rsidR="00651B86" w:rsidRPr="00220BD4" w:rsidSect="00EA347B">
      <w:headerReference w:type="even" r:id="rId33"/>
      <w:headerReference w:type="default" r:id="rId34"/>
      <w:footerReference w:type="default" r:id="rId35"/>
      <w:headerReference w:type="first" r:id="rId3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Michael Hadley" w:date="2016-06-24T09:46:00Z" w:initials="MH">
    <w:p w14:paraId="1634A81E" w14:textId="77777777" w:rsidR="002D5A0F" w:rsidRDefault="002D5A0F" w:rsidP="00B25EFE">
      <w:pPr>
        <w:pStyle w:val="CommentText"/>
      </w:pPr>
      <w:r>
        <w:rPr>
          <w:rStyle w:val="CommentReference"/>
        </w:rPr>
        <w:annotationRef/>
      </w:r>
      <w:r>
        <w:t>The reformatting process aims to eliminate ‘foreign’ styles and so some draft text / comments from the original documents may have been lost.  Where possible cross-references have been inserted.  A list of acronyms, based on the original document has been created, please check this for validity.</w:t>
      </w:r>
    </w:p>
    <w:p w14:paraId="4A0FACFE" w14:textId="7D224217" w:rsidR="002D5A0F" w:rsidRDefault="002D5A0F" w:rsidP="00B25EFE">
      <w:pPr>
        <w:pStyle w:val="CommentText"/>
      </w:pPr>
      <w:r>
        <w:t>The structure of the document is also in accordance with the new template.</w:t>
      </w:r>
    </w:p>
  </w:comment>
  <w:comment w:id="5" w:author="Michael Hadley" w:date="2016-03-15T14:53:00Z" w:initials="MH">
    <w:p w14:paraId="26D2A516" w14:textId="77777777" w:rsidR="002D5A0F" w:rsidRDefault="002D5A0F">
      <w:pPr>
        <w:pStyle w:val="CommentText"/>
      </w:pPr>
      <w:r>
        <w:rPr>
          <w:rStyle w:val="CommentReference"/>
        </w:rPr>
        <w:annotationRef/>
      </w:r>
      <w:r>
        <w:t>Insert date approved by Council (Month &amp; Year)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0FACFE" w15:done="0"/>
  <w15:commentEx w15:paraId="26D2A51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562398" w14:textId="77777777" w:rsidR="00FD1EC9" w:rsidRDefault="00FD1EC9" w:rsidP="003274DB">
      <w:r>
        <w:separator/>
      </w:r>
    </w:p>
    <w:p w14:paraId="5BA058A8" w14:textId="77777777" w:rsidR="00FD1EC9" w:rsidRDefault="00FD1EC9"/>
  </w:endnote>
  <w:endnote w:type="continuationSeparator" w:id="0">
    <w:p w14:paraId="182112C7" w14:textId="77777777" w:rsidR="00FD1EC9" w:rsidRDefault="00FD1EC9" w:rsidP="003274DB">
      <w:r>
        <w:continuationSeparator/>
      </w:r>
    </w:p>
    <w:p w14:paraId="47DA2D84" w14:textId="77777777" w:rsidR="00FD1EC9" w:rsidRDefault="00FD1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F9954" w14:textId="77777777" w:rsidR="002D5A0F" w:rsidRDefault="002D5A0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4A07D5" w14:textId="77777777" w:rsidR="002D5A0F" w:rsidRDefault="002D5A0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81B2176" w14:textId="77777777" w:rsidR="002D5A0F" w:rsidRDefault="002D5A0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3DF96B7" w14:textId="77777777" w:rsidR="002D5A0F" w:rsidRDefault="002D5A0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3A5C537" w14:textId="77777777" w:rsidR="002D5A0F" w:rsidRDefault="002D5A0F"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73218" w14:textId="77777777" w:rsidR="002D5A0F" w:rsidRDefault="002D5A0F" w:rsidP="008747E0">
    <w:pPr>
      <w:pStyle w:val="Footer"/>
    </w:pPr>
    <w:r>
      <w:rPr>
        <w:noProof/>
        <w:lang w:eastAsia="en-GB"/>
      </w:rPr>
      <mc:AlternateContent>
        <mc:Choice Requires="wps">
          <w:drawing>
            <wp:anchor distT="0" distB="0" distL="114300" distR="114300" simplePos="0" relativeHeight="251669504" behindDoc="0" locked="0" layoutInCell="1" allowOverlap="1" wp14:anchorId="71C27AE7" wp14:editId="4CF1DF5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9342D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8F9A360" w14:textId="77777777" w:rsidR="002D5A0F" w:rsidRPr="00ED2A8D" w:rsidRDefault="002D5A0F" w:rsidP="008747E0">
    <w:pPr>
      <w:pStyle w:val="Footer"/>
    </w:pPr>
    <w:r w:rsidRPr="00442889">
      <w:rPr>
        <w:noProof/>
        <w:lang w:eastAsia="en-GB"/>
      </w:rPr>
      <w:drawing>
        <wp:anchor distT="0" distB="0" distL="114300" distR="114300" simplePos="0" relativeHeight="251661312" behindDoc="1" locked="0" layoutInCell="1" allowOverlap="1" wp14:anchorId="7611C3F9" wp14:editId="22983094">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BFD7FDA" w14:textId="77777777" w:rsidR="002D5A0F" w:rsidRPr="00ED2A8D" w:rsidRDefault="002D5A0F" w:rsidP="008747E0">
    <w:pPr>
      <w:pStyle w:val="Footer"/>
    </w:pPr>
  </w:p>
  <w:p w14:paraId="571EB033" w14:textId="77777777" w:rsidR="002D5A0F" w:rsidRPr="00ED2A8D" w:rsidRDefault="002D5A0F" w:rsidP="008747E0">
    <w:pPr>
      <w:pStyle w:val="Footer"/>
    </w:pPr>
  </w:p>
  <w:p w14:paraId="4F5A84D8" w14:textId="77777777" w:rsidR="002D5A0F" w:rsidRPr="00ED2A8D" w:rsidRDefault="002D5A0F"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7B5DC3" w14:textId="77777777" w:rsidR="002D5A0F" w:rsidRDefault="002D5A0F"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637325CF" wp14:editId="537E6C1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E5ABAD"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7C8E21F" w14:textId="77777777" w:rsidR="002D5A0F" w:rsidRPr="00C907DF" w:rsidRDefault="002D5A0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7097A8C2" w14:textId="77777777" w:rsidR="002D5A0F" w:rsidRPr="00525922" w:rsidRDefault="002D5A0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661F7" w14:textId="77777777" w:rsidR="002D5A0F" w:rsidRPr="00C716E5" w:rsidRDefault="002D5A0F" w:rsidP="00C716E5">
    <w:pPr>
      <w:pStyle w:val="Footer"/>
      <w:rPr>
        <w:sz w:val="15"/>
        <w:szCs w:val="15"/>
      </w:rPr>
    </w:pPr>
  </w:p>
  <w:p w14:paraId="55F91BEB" w14:textId="77777777" w:rsidR="002D5A0F" w:rsidRDefault="002D5A0F" w:rsidP="00C716E5">
    <w:pPr>
      <w:pStyle w:val="Footerportrait"/>
    </w:pPr>
  </w:p>
  <w:p w14:paraId="50B0E262" w14:textId="77777777" w:rsidR="002D5A0F" w:rsidRPr="00C907DF" w:rsidRDefault="00D605CA" w:rsidP="00C716E5">
    <w:pPr>
      <w:pStyle w:val="Footerportrait"/>
      <w:rPr>
        <w:rStyle w:val="PageNumber"/>
        <w:szCs w:val="15"/>
      </w:rPr>
    </w:pPr>
    <w:r>
      <w:fldChar w:fldCharType="begin"/>
    </w:r>
    <w:r>
      <w:instrText xml:space="preserve"> STYLEREF "Document type" \* MERGEFORMAT </w:instrText>
    </w:r>
    <w:r>
      <w:fldChar w:fldCharType="separate"/>
    </w:r>
    <w:r w:rsidR="00CD404B">
      <w:rPr>
        <w:b w:val="0"/>
        <w:bCs/>
      </w:rPr>
      <w:t>Error! No text of specified style in document.</w:t>
    </w:r>
    <w:r>
      <w:fldChar w:fldCharType="end"/>
    </w:r>
    <w:r w:rsidR="002D5A0F" w:rsidRPr="00C907DF">
      <w:t xml:space="preserve"> </w:t>
    </w:r>
    <w:fldSimple w:instr=" STYLEREF &quot;Document number&quot; \* MERGEFORMAT ">
      <w:r w:rsidR="00CD404B">
        <w:t>1???</w:t>
      </w:r>
    </w:fldSimple>
    <w:r w:rsidR="002D5A0F" w:rsidRPr="00C907DF">
      <w:t xml:space="preserve"> –</w:t>
    </w:r>
    <w:r w:rsidR="002D5A0F">
      <w:t xml:space="preserve"> </w:t>
    </w:r>
    <w:fldSimple w:instr=" STYLEREF &quot;Document name&quot; \* MERGEFORMAT ">
      <w:r w:rsidR="00CD404B">
        <w:t>The Technical Approach to Establishing a Maritime eLoran Service</w:t>
      </w:r>
    </w:fldSimple>
  </w:p>
  <w:p w14:paraId="2CE9A58A" w14:textId="77777777" w:rsidR="002D5A0F" w:rsidRPr="00C907DF" w:rsidRDefault="00D605CA" w:rsidP="00C716E5">
    <w:pPr>
      <w:pStyle w:val="Footerportrait"/>
    </w:pPr>
    <w:fldSimple w:instr=" STYLEREF &quot;Edition number&quot; \* MERGEFORMAT ">
      <w:r w:rsidR="00CD404B">
        <w:t>Edition 1.0 (Draft)</w:t>
      </w:r>
    </w:fldSimple>
    <w:r w:rsidR="002D5A0F">
      <w:t xml:space="preserve">  </w:t>
    </w:r>
    <w:fldSimple w:instr=" STYLEREF &quot;Document date&quot; \* MERGEFORMAT ">
      <w:r w:rsidR="00CD404B">
        <w:t>Document date</w:t>
      </w:r>
    </w:fldSimple>
    <w:r w:rsidR="002D5A0F" w:rsidRPr="00C907DF">
      <w:tab/>
    </w:r>
    <w:r w:rsidR="002D5A0F">
      <w:t xml:space="preserve">P </w:t>
    </w:r>
    <w:r w:rsidR="002D5A0F" w:rsidRPr="00C907DF">
      <w:rPr>
        <w:rStyle w:val="PageNumber"/>
        <w:szCs w:val="15"/>
      </w:rPr>
      <w:fldChar w:fldCharType="begin"/>
    </w:r>
    <w:r w:rsidR="002D5A0F" w:rsidRPr="00C907DF">
      <w:rPr>
        <w:rStyle w:val="PageNumber"/>
        <w:szCs w:val="15"/>
      </w:rPr>
      <w:instrText xml:space="preserve">PAGE  </w:instrText>
    </w:r>
    <w:r w:rsidR="002D5A0F" w:rsidRPr="00C907DF">
      <w:rPr>
        <w:rStyle w:val="PageNumber"/>
        <w:szCs w:val="15"/>
      </w:rPr>
      <w:fldChar w:fldCharType="separate"/>
    </w:r>
    <w:r w:rsidR="00CD404B">
      <w:rPr>
        <w:rStyle w:val="PageNumber"/>
        <w:szCs w:val="15"/>
      </w:rPr>
      <w:t>6</w:t>
    </w:r>
    <w:r w:rsidR="002D5A0F"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58A61" w14:textId="77777777" w:rsidR="002D5A0F" w:rsidRDefault="002D5A0F" w:rsidP="00C716E5">
    <w:pPr>
      <w:pStyle w:val="Footer"/>
    </w:pPr>
  </w:p>
  <w:p w14:paraId="229A836E" w14:textId="77777777" w:rsidR="002D5A0F" w:rsidRDefault="002D5A0F" w:rsidP="00C716E5">
    <w:pPr>
      <w:pStyle w:val="Footerportrait"/>
    </w:pPr>
  </w:p>
  <w:p w14:paraId="1CB0E4C9" w14:textId="77777777" w:rsidR="002D5A0F" w:rsidRPr="00C907DF" w:rsidRDefault="00D605CA" w:rsidP="00C716E5">
    <w:pPr>
      <w:pStyle w:val="Footerportrait"/>
      <w:rPr>
        <w:rStyle w:val="PageNumber"/>
        <w:szCs w:val="15"/>
      </w:rPr>
    </w:pPr>
    <w:r>
      <w:fldChar w:fldCharType="begin"/>
    </w:r>
    <w:r>
      <w:instrText xml:space="preserve"> STYLEREF "Document type" \* MERGEFORMAT </w:instrText>
    </w:r>
    <w:r>
      <w:fldChar w:fldCharType="separate"/>
    </w:r>
    <w:r w:rsidR="00010920">
      <w:rPr>
        <w:b w:val="0"/>
        <w:bCs/>
      </w:rPr>
      <w:t>Error! No text of specified style in document.</w:t>
    </w:r>
    <w:r>
      <w:fldChar w:fldCharType="end"/>
    </w:r>
    <w:r w:rsidR="002D5A0F" w:rsidRPr="00C907DF">
      <w:t xml:space="preserve"> </w:t>
    </w:r>
    <w:fldSimple w:instr=" STYLEREF &quot;Document number&quot; \* MERGEFORMAT ">
      <w:r w:rsidR="00010920">
        <w:t>1???</w:t>
      </w:r>
    </w:fldSimple>
    <w:r w:rsidR="002D5A0F" w:rsidRPr="00C907DF">
      <w:t xml:space="preserve"> –</w:t>
    </w:r>
    <w:r w:rsidR="002D5A0F">
      <w:t xml:space="preserve"> </w:t>
    </w:r>
    <w:fldSimple w:instr=" STYLEREF &quot;Document name&quot; \* MERGEFORMAT ">
      <w:r w:rsidR="00010920">
        <w:t>The Technical Approach to Establishing a Maritime eLoran Service</w:t>
      </w:r>
    </w:fldSimple>
  </w:p>
  <w:p w14:paraId="4945B3FB" w14:textId="77777777" w:rsidR="002D5A0F" w:rsidRPr="00525922" w:rsidRDefault="00D605CA" w:rsidP="00C716E5">
    <w:pPr>
      <w:pStyle w:val="Footerportrait"/>
    </w:pPr>
    <w:fldSimple w:instr=" STYLEREF &quot;Edition number&quot; \* MERGEFORMAT ">
      <w:r w:rsidR="00010920">
        <w:t>Edition 1.0 (Draft)</w:t>
      </w:r>
    </w:fldSimple>
    <w:r w:rsidR="002D5A0F" w:rsidRPr="00C907DF">
      <w:tab/>
    </w:r>
    <w:r w:rsidR="002D5A0F">
      <w:t xml:space="preserve">P </w:t>
    </w:r>
    <w:r w:rsidR="002D5A0F" w:rsidRPr="00C907DF">
      <w:rPr>
        <w:rStyle w:val="PageNumber"/>
        <w:szCs w:val="15"/>
      </w:rPr>
      <w:fldChar w:fldCharType="begin"/>
    </w:r>
    <w:r w:rsidR="002D5A0F" w:rsidRPr="00C907DF">
      <w:rPr>
        <w:rStyle w:val="PageNumber"/>
        <w:szCs w:val="15"/>
      </w:rPr>
      <w:instrText xml:space="preserve">PAGE  </w:instrText>
    </w:r>
    <w:r w:rsidR="002D5A0F" w:rsidRPr="00C907DF">
      <w:rPr>
        <w:rStyle w:val="PageNumber"/>
        <w:szCs w:val="15"/>
      </w:rPr>
      <w:fldChar w:fldCharType="separate"/>
    </w:r>
    <w:r w:rsidR="00010920">
      <w:rPr>
        <w:rStyle w:val="PageNumber"/>
        <w:szCs w:val="15"/>
      </w:rPr>
      <w:t>4</w:t>
    </w:r>
    <w:r w:rsidR="002D5A0F"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5C3CE" w14:textId="77777777" w:rsidR="002D5A0F" w:rsidRDefault="002D5A0F" w:rsidP="00C716E5">
    <w:pPr>
      <w:pStyle w:val="Footer"/>
    </w:pPr>
  </w:p>
  <w:p w14:paraId="2A5567BD" w14:textId="77777777" w:rsidR="002D5A0F" w:rsidRDefault="002D5A0F" w:rsidP="00C716E5">
    <w:pPr>
      <w:pStyle w:val="Footerportrait"/>
    </w:pPr>
  </w:p>
  <w:p w14:paraId="29799674" w14:textId="77777777" w:rsidR="002D5A0F" w:rsidRPr="00C907DF" w:rsidRDefault="00D605CA" w:rsidP="00C716E5">
    <w:pPr>
      <w:pStyle w:val="Footerportrait"/>
    </w:pPr>
    <w:fldSimple w:instr=" STYLEREF &quot;Document type&quot; \* MERGEFORMAT ">
      <w:r w:rsidR="006F4AE1">
        <w:t>IALA Guideline</w:t>
      </w:r>
    </w:fldSimple>
    <w:r w:rsidR="002D5A0F" w:rsidRPr="00C907DF">
      <w:t xml:space="preserve"> </w:t>
    </w:r>
    <w:fldSimple w:instr=" STYLEREF &quot;Document number&quot; \* MERGEFORMAT ">
      <w:r w:rsidR="006F4AE1">
        <w:t>1???</w:t>
      </w:r>
    </w:fldSimple>
    <w:r w:rsidR="002D5A0F" w:rsidRPr="00C907DF">
      <w:t xml:space="preserve"> –</w:t>
    </w:r>
    <w:r w:rsidR="002D5A0F">
      <w:t xml:space="preserve"> </w:t>
    </w:r>
    <w:fldSimple w:instr=" STYLEREF &quot;Document name&quot; \* MERGEFORMAT ">
      <w:r w:rsidR="006F4AE1">
        <w:t>The Technical Approach to Establishing a Maritime eLoran Service</w:t>
      </w:r>
    </w:fldSimple>
    <w:r w:rsidR="002D5A0F">
      <w:tab/>
    </w:r>
  </w:p>
  <w:p w14:paraId="388D9CFC" w14:textId="77777777" w:rsidR="002D5A0F" w:rsidRPr="00C907DF" w:rsidRDefault="00D605CA" w:rsidP="00C716E5">
    <w:pPr>
      <w:pStyle w:val="Footerportrait"/>
    </w:pPr>
    <w:fldSimple w:instr=" STYLEREF &quot;Edition number&quot; \* MERGEFORMAT ">
      <w:r w:rsidR="006F4AE1">
        <w:t>Edition 1.0 (Draft)</w:t>
      </w:r>
    </w:fldSimple>
    <w:r w:rsidR="002D5A0F">
      <w:t xml:space="preserve">  </w:t>
    </w:r>
    <w:fldSimple w:instr=" STYLEREF &quot;Document date&quot; \* MERGEFORMAT ">
      <w:r w:rsidR="006F4AE1">
        <w:t>Document date</w:t>
      </w:r>
    </w:fldSimple>
    <w:r w:rsidR="002D5A0F">
      <w:tab/>
    </w:r>
    <w:r w:rsidR="002D5A0F">
      <w:rPr>
        <w:rStyle w:val="PageNumber"/>
        <w:szCs w:val="15"/>
      </w:rPr>
      <w:t xml:space="preserve">P </w:t>
    </w:r>
    <w:r w:rsidR="002D5A0F" w:rsidRPr="00C907DF">
      <w:rPr>
        <w:rStyle w:val="PageNumber"/>
        <w:szCs w:val="15"/>
      </w:rPr>
      <w:fldChar w:fldCharType="begin"/>
    </w:r>
    <w:r w:rsidR="002D5A0F" w:rsidRPr="00C907DF">
      <w:rPr>
        <w:rStyle w:val="PageNumber"/>
        <w:szCs w:val="15"/>
      </w:rPr>
      <w:instrText xml:space="preserve">PAGE  </w:instrText>
    </w:r>
    <w:r w:rsidR="002D5A0F" w:rsidRPr="00C907DF">
      <w:rPr>
        <w:rStyle w:val="PageNumber"/>
        <w:szCs w:val="15"/>
      </w:rPr>
      <w:fldChar w:fldCharType="separate"/>
    </w:r>
    <w:r w:rsidR="006F4AE1">
      <w:rPr>
        <w:rStyle w:val="PageNumber"/>
        <w:szCs w:val="15"/>
      </w:rPr>
      <w:t>21</w:t>
    </w:r>
    <w:r w:rsidR="002D5A0F"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D0AC55" w14:textId="77777777" w:rsidR="00FD1EC9" w:rsidRDefault="00FD1EC9" w:rsidP="003274DB">
      <w:r>
        <w:separator/>
      </w:r>
    </w:p>
    <w:p w14:paraId="367010EC" w14:textId="77777777" w:rsidR="00FD1EC9" w:rsidRDefault="00FD1EC9"/>
  </w:footnote>
  <w:footnote w:type="continuationSeparator" w:id="0">
    <w:p w14:paraId="0A5329F8" w14:textId="77777777" w:rsidR="00FD1EC9" w:rsidRDefault="00FD1EC9" w:rsidP="003274DB">
      <w:r>
        <w:continuationSeparator/>
      </w:r>
    </w:p>
    <w:p w14:paraId="337DD454" w14:textId="77777777" w:rsidR="00FD1EC9" w:rsidRDefault="00FD1EC9"/>
  </w:footnote>
  <w:footnote w:id="1">
    <w:p w14:paraId="5B812B0E" w14:textId="7A4F36AF" w:rsidR="002D5A0F" w:rsidRDefault="002D5A0F">
      <w:pPr>
        <w:pStyle w:val="FootnoteText"/>
      </w:pPr>
      <w:r>
        <w:rPr>
          <w:rStyle w:val="FootnoteReference"/>
        </w:rPr>
        <w:footnoteRef/>
      </w:r>
      <w:r>
        <w:tab/>
      </w:r>
      <w:r w:rsidRPr="00FF4C48">
        <w:t>All generations of Loran support Stratum 1 frequency for telecommunications.  Prototype eLoran and eLoran support UTC time of day.  eLoran will support sub-50ns precise timing</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66DF7" w14:textId="371422DB" w:rsidR="002D5A0F" w:rsidRDefault="00FD1EC9">
    <w:pPr>
      <w:pStyle w:val="Header"/>
    </w:pPr>
    <w:r>
      <w:rPr>
        <w:noProof/>
      </w:rPr>
      <w:pict w14:anchorId="3A21A0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FC242" w14:textId="37E5874D" w:rsidR="002D5A0F" w:rsidRDefault="00FD1EC9">
    <w:pPr>
      <w:pStyle w:val="Header"/>
    </w:pPr>
    <w:r>
      <w:rPr>
        <w:noProof/>
      </w:rPr>
      <w:pict w14:anchorId="2A4F1B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37DE9" w14:textId="4BD68BED" w:rsidR="002D5A0F" w:rsidRPr="00667792" w:rsidRDefault="00FD1EC9" w:rsidP="00667792">
    <w:pPr>
      <w:pStyle w:val="Header"/>
    </w:pPr>
    <w:r>
      <w:rPr>
        <w:noProof/>
      </w:rPr>
      <w:pict w14:anchorId="5F0E8A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D5A0F">
      <w:rPr>
        <w:noProof/>
        <w:lang w:eastAsia="en-GB"/>
      </w:rPr>
      <w:drawing>
        <wp:anchor distT="0" distB="0" distL="114300" distR="114300" simplePos="0" relativeHeight="251678720" behindDoc="1" locked="0" layoutInCell="1" allowOverlap="1" wp14:anchorId="535D5265" wp14:editId="3E2ED8BD">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A990E" w14:textId="4BF0ABC4" w:rsidR="002D5A0F" w:rsidRDefault="00FD1EC9">
    <w:pPr>
      <w:pStyle w:val="Header"/>
    </w:pPr>
    <w:r>
      <w:rPr>
        <w:noProof/>
      </w:rPr>
      <w:pict w14:anchorId="42E450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DEC58" w14:textId="4660BE04" w:rsidR="006F4AE1" w:rsidRDefault="006F4AE1" w:rsidP="006441F3">
    <w:pPr>
      <w:pStyle w:val="Header"/>
      <w:jc w:val="right"/>
    </w:pPr>
    <w:r>
      <w:t>ENAV20-13.1</w:t>
    </w:r>
  </w:p>
  <w:p w14:paraId="14581A69" w14:textId="3E070B7F" w:rsidR="002D5A0F" w:rsidRDefault="006F4AE1" w:rsidP="006441F3">
    <w:pPr>
      <w:pStyle w:val="Header"/>
      <w:jc w:val="right"/>
    </w:pPr>
    <w:r>
      <w:t xml:space="preserve">Formerly </w:t>
    </w:r>
    <w:r w:rsidR="008D4ED6">
      <w:t>ENAV19-14.2.5</w:t>
    </w:r>
  </w:p>
  <w:p w14:paraId="2D7E4E7F" w14:textId="5A9DC71D" w:rsidR="002D5A0F" w:rsidRDefault="002D5A0F" w:rsidP="006441F3">
    <w:pPr>
      <w:pStyle w:val="Header"/>
      <w:jc w:val="right"/>
    </w:pPr>
    <w:r>
      <w:rPr>
        <w:color w:val="FF0000"/>
      </w:rPr>
      <w:t>Please see comments in track changes all markup</w:t>
    </w:r>
  </w:p>
  <w:p w14:paraId="4D85011D" w14:textId="576685C4" w:rsidR="002D5A0F" w:rsidRPr="00ED2A8D" w:rsidRDefault="00FD1EC9" w:rsidP="006441F3">
    <w:pPr>
      <w:pStyle w:val="Header"/>
      <w:jc w:val="right"/>
    </w:pPr>
    <w:r>
      <w:rPr>
        <w:noProof/>
      </w:rPr>
      <w:pict w14:anchorId="6BE8A7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D5A0F" w:rsidRPr="00442889">
      <w:rPr>
        <w:noProof/>
        <w:lang w:eastAsia="en-GB"/>
      </w:rPr>
      <w:drawing>
        <wp:anchor distT="0" distB="0" distL="114300" distR="114300" simplePos="0" relativeHeight="251657214" behindDoc="1" locked="0" layoutInCell="1" allowOverlap="1" wp14:anchorId="3BC1B708" wp14:editId="11978DD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2889FCA" w14:textId="77777777" w:rsidR="002D5A0F" w:rsidRPr="00ED2A8D" w:rsidRDefault="002D5A0F" w:rsidP="008747E0">
    <w:pPr>
      <w:pStyle w:val="Header"/>
    </w:pPr>
  </w:p>
  <w:p w14:paraId="4E66AB39" w14:textId="77777777" w:rsidR="002D5A0F" w:rsidRDefault="002D5A0F" w:rsidP="008747E0">
    <w:pPr>
      <w:pStyle w:val="Header"/>
    </w:pPr>
  </w:p>
  <w:p w14:paraId="53C3954E" w14:textId="77777777" w:rsidR="002D5A0F" w:rsidRDefault="002D5A0F" w:rsidP="008747E0">
    <w:pPr>
      <w:pStyle w:val="Header"/>
    </w:pPr>
  </w:p>
  <w:p w14:paraId="1143BBE3" w14:textId="77777777" w:rsidR="002D5A0F" w:rsidRDefault="002D5A0F" w:rsidP="008747E0">
    <w:pPr>
      <w:pStyle w:val="Header"/>
    </w:pPr>
  </w:p>
  <w:p w14:paraId="6E8BB22D" w14:textId="77777777" w:rsidR="002D5A0F" w:rsidRDefault="002D5A0F" w:rsidP="008747E0">
    <w:pPr>
      <w:pStyle w:val="Header"/>
    </w:pPr>
  </w:p>
  <w:p w14:paraId="003F69D4" w14:textId="77777777" w:rsidR="002D5A0F" w:rsidRDefault="002D5A0F" w:rsidP="008747E0">
    <w:pPr>
      <w:pStyle w:val="Header"/>
    </w:pPr>
    <w:r>
      <w:rPr>
        <w:noProof/>
        <w:lang w:eastAsia="en-GB"/>
      </w:rPr>
      <w:drawing>
        <wp:anchor distT="0" distB="0" distL="114300" distR="114300" simplePos="0" relativeHeight="251656189" behindDoc="1" locked="0" layoutInCell="1" allowOverlap="1" wp14:anchorId="7E285194" wp14:editId="6BCEA5F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BCB98B3" w14:textId="77777777" w:rsidR="002D5A0F" w:rsidRPr="00ED2A8D" w:rsidRDefault="002D5A0F" w:rsidP="008747E0">
    <w:pPr>
      <w:pStyle w:val="Header"/>
    </w:pPr>
  </w:p>
  <w:p w14:paraId="6CADC4B9" w14:textId="77777777" w:rsidR="002D5A0F" w:rsidRPr="00ED2A8D" w:rsidRDefault="002D5A0F"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6B1E0" w14:textId="46527853" w:rsidR="002D5A0F" w:rsidRDefault="00FD1EC9">
    <w:pPr>
      <w:pStyle w:val="Header"/>
    </w:pPr>
    <w:r>
      <w:rPr>
        <w:noProof/>
      </w:rPr>
      <w:pict w14:anchorId="55AF6F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D5A0F">
      <w:rPr>
        <w:noProof/>
        <w:lang w:eastAsia="en-GB"/>
      </w:rPr>
      <w:drawing>
        <wp:anchor distT="0" distB="0" distL="114300" distR="114300" simplePos="0" relativeHeight="251688960" behindDoc="1" locked="0" layoutInCell="1" allowOverlap="1" wp14:anchorId="438C60D4" wp14:editId="7B6B6E4B">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612D044" w14:textId="77777777" w:rsidR="002D5A0F" w:rsidRDefault="002D5A0F">
    <w:pPr>
      <w:pStyle w:val="Header"/>
    </w:pPr>
  </w:p>
  <w:p w14:paraId="5ACC9E23" w14:textId="77777777" w:rsidR="002D5A0F" w:rsidRDefault="002D5A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4B54A" w14:textId="18FB6580" w:rsidR="002D5A0F" w:rsidRDefault="00FD1EC9">
    <w:pPr>
      <w:pStyle w:val="Header"/>
    </w:pPr>
    <w:r>
      <w:rPr>
        <w:noProof/>
      </w:rPr>
      <w:pict w14:anchorId="4C23EB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66782" w14:textId="32515756" w:rsidR="002D5A0F" w:rsidRPr="00ED2A8D" w:rsidRDefault="00FD1EC9" w:rsidP="008747E0">
    <w:pPr>
      <w:pStyle w:val="Header"/>
    </w:pPr>
    <w:r>
      <w:rPr>
        <w:noProof/>
      </w:rPr>
      <w:pict w14:anchorId="371817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D5A0F">
      <w:rPr>
        <w:noProof/>
        <w:lang w:eastAsia="en-GB"/>
      </w:rPr>
      <w:drawing>
        <wp:anchor distT="0" distB="0" distL="114300" distR="114300" simplePos="0" relativeHeight="251658752" behindDoc="1" locked="0" layoutInCell="1" allowOverlap="1" wp14:anchorId="340470F0" wp14:editId="296D79D6">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27DE35C" w14:textId="77777777" w:rsidR="002D5A0F" w:rsidRPr="00ED2A8D" w:rsidRDefault="002D5A0F" w:rsidP="008747E0">
    <w:pPr>
      <w:pStyle w:val="Header"/>
    </w:pPr>
  </w:p>
  <w:p w14:paraId="02880117" w14:textId="77777777" w:rsidR="002D5A0F" w:rsidRDefault="002D5A0F" w:rsidP="008747E0">
    <w:pPr>
      <w:pStyle w:val="Header"/>
    </w:pPr>
  </w:p>
  <w:p w14:paraId="369E7977" w14:textId="77777777" w:rsidR="002D5A0F" w:rsidRDefault="002D5A0F" w:rsidP="008747E0">
    <w:pPr>
      <w:pStyle w:val="Header"/>
    </w:pPr>
  </w:p>
  <w:p w14:paraId="78A6A737" w14:textId="77777777" w:rsidR="002D5A0F" w:rsidRDefault="002D5A0F" w:rsidP="008747E0">
    <w:pPr>
      <w:pStyle w:val="Header"/>
    </w:pPr>
  </w:p>
  <w:p w14:paraId="2C69E9C9" w14:textId="77777777" w:rsidR="002D5A0F" w:rsidRPr="00441393" w:rsidRDefault="002D5A0F" w:rsidP="00441393">
    <w:pPr>
      <w:pStyle w:val="Contents"/>
    </w:pPr>
    <w:r>
      <w:t>DOCUMENT REVISION</w:t>
    </w:r>
  </w:p>
  <w:p w14:paraId="763A80C9" w14:textId="77777777" w:rsidR="002D5A0F" w:rsidRPr="00ED2A8D" w:rsidRDefault="002D5A0F" w:rsidP="008747E0">
    <w:pPr>
      <w:pStyle w:val="Header"/>
    </w:pPr>
  </w:p>
  <w:p w14:paraId="3D6B84C6" w14:textId="77777777" w:rsidR="002D5A0F" w:rsidRPr="00AC33A2" w:rsidRDefault="002D5A0F"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26F85" w14:textId="11E4949B" w:rsidR="002D5A0F" w:rsidRDefault="00FD1EC9">
    <w:pPr>
      <w:pStyle w:val="Header"/>
    </w:pPr>
    <w:r>
      <w:rPr>
        <w:noProof/>
      </w:rPr>
      <w:pict w14:anchorId="72D289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17A0E" w14:textId="4F1AD705" w:rsidR="002D5A0F" w:rsidRDefault="00FD1EC9">
    <w:pPr>
      <w:pStyle w:val="Header"/>
    </w:pPr>
    <w:r>
      <w:rPr>
        <w:noProof/>
      </w:rPr>
      <w:pict w14:anchorId="5C6CA5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E289" w14:textId="2C91A2B6" w:rsidR="002D5A0F" w:rsidRPr="00ED2A8D" w:rsidRDefault="00FD1EC9" w:rsidP="008747E0">
    <w:pPr>
      <w:pStyle w:val="Header"/>
    </w:pPr>
    <w:r>
      <w:rPr>
        <w:noProof/>
      </w:rPr>
      <w:pict w14:anchorId="6CC3BF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D5A0F">
      <w:rPr>
        <w:noProof/>
        <w:lang w:eastAsia="en-GB"/>
      </w:rPr>
      <w:drawing>
        <wp:anchor distT="0" distB="0" distL="114300" distR="114300" simplePos="0" relativeHeight="251674624" behindDoc="1" locked="0" layoutInCell="1" allowOverlap="1" wp14:anchorId="67E7C7A1" wp14:editId="41E250DE">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CE97A7D" w14:textId="77777777" w:rsidR="002D5A0F" w:rsidRPr="00ED2A8D" w:rsidRDefault="002D5A0F" w:rsidP="008747E0">
    <w:pPr>
      <w:pStyle w:val="Header"/>
    </w:pPr>
  </w:p>
  <w:p w14:paraId="440CC349" w14:textId="77777777" w:rsidR="002D5A0F" w:rsidRDefault="002D5A0F" w:rsidP="008747E0">
    <w:pPr>
      <w:pStyle w:val="Header"/>
    </w:pPr>
  </w:p>
  <w:p w14:paraId="38AC9200" w14:textId="77777777" w:rsidR="002D5A0F" w:rsidRDefault="002D5A0F" w:rsidP="008747E0">
    <w:pPr>
      <w:pStyle w:val="Header"/>
    </w:pPr>
  </w:p>
  <w:p w14:paraId="4F69D29B" w14:textId="77777777" w:rsidR="002D5A0F" w:rsidRDefault="002D5A0F" w:rsidP="008747E0">
    <w:pPr>
      <w:pStyle w:val="Header"/>
    </w:pPr>
  </w:p>
  <w:p w14:paraId="29C15E86" w14:textId="77777777" w:rsidR="002D5A0F" w:rsidRPr="00441393" w:rsidRDefault="002D5A0F" w:rsidP="00441393">
    <w:pPr>
      <w:pStyle w:val="Contents"/>
    </w:pPr>
    <w:r>
      <w:t>CONTENTS</w:t>
    </w:r>
  </w:p>
  <w:p w14:paraId="7A5408D4" w14:textId="77777777" w:rsidR="002D5A0F" w:rsidRDefault="002D5A0F" w:rsidP="0078486B">
    <w:pPr>
      <w:pStyle w:val="Header"/>
      <w:spacing w:line="140" w:lineRule="exact"/>
    </w:pPr>
  </w:p>
  <w:p w14:paraId="04E3982B" w14:textId="77777777" w:rsidR="002D5A0F" w:rsidRPr="00AC33A2" w:rsidRDefault="002D5A0F"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D6A50" w14:textId="04AAD670" w:rsidR="002D5A0F" w:rsidRPr="00ED2A8D" w:rsidRDefault="00FD1EC9" w:rsidP="00C716E5">
    <w:pPr>
      <w:pStyle w:val="Header"/>
    </w:pPr>
    <w:r>
      <w:rPr>
        <w:noProof/>
      </w:rPr>
      <w:pict w14:anchorId="4E2F39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D5A0F">
      <w:rPr>
        <w:noProof/>
        <w:lang w:eastAsia="en-GB"/>
      </w:rPr>
      <w:drawing>
        <wp:anchor distT="0" distB="0" distL="114300" distR="114300" simplePos="0" relativeHeight="251697152" behindDoc="1" locked="0" layoutInCell="1" allowOverlap="1" wp14:anchorId="22452546" wp14:editId="51B3B2FD">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0E4287F" w14:textId="77777777" w:rsidR="002D5A0F" w:rsidRPr="00ED2A8D" w:rsidRDefault="002D5A0F" w:rsidP="00C716E5">
    <w:pPr>
      <w:pStyle w:val="Header"/>
    </w:pPr>
  </w:p>
  <w:p w14:paraId="7BF27B22" w14:textId="77777777" w:rsidR="002D5A0F" w:rsidRDefault="002D5A0F" w:rsidP="00C716E5">
    <w:pPr>
      <w:pStyle w:val="Header"/>
    </w:pPr>
  </w:p>
  <w:p w14:paraId="206AAFE1" w14:textId="77777777" w:rsidR="002D5A0F" w:rsidRDefault="002D5A0F" w:rsidP="00C716E5">
    <w:pPr>
      <w:pStyle w:val="Header"/>
    </w:pPr>
  </w:p>
  <w:p w14:paraId="37EA0D33" w14:textId="77777777" w:rsidR="002D5A0F" w:rsidRDefault="002D5A0F" w:rsidP="00C716E5">
    <w:pPr>
      <w:pStyle w:val="Header"/>
    </w:pPr>
  </w:p>
  <w:p w14:paraId="29093BCA" w14:textId="77777777" w:rsidR="002D5A0F" w:rsidRPr="00441393" w:rsidRDefault="002D5A0F" w:rsidP="00C716E5">
    <w:pPr>
      <w:pStyle w:val="Contents"/>
    </w:pPr>
    <w:r>
      <w:t>CONTENTS</w:t>
    </w:r>
  </w:p>
  <w:p w14:paraId="62477B30" w14:textId="77777777" w:rsidR="002D5A0F" w:rsidRPr="00ED2A8D" w:rsidRDefault="002D5A0F" w:rsidP="00C716E5">
    <w:pPr>
      <w:pStyle w:val="Header"/>
    </w:pPr>
  </w:p>
  <w:p w14:paraId="6B4DD33A" w14:textId="77777777" w:rsidR="002D5A0F" w:rsidRPr="00AC33A2" w:rsidRDefault="002D5A0F" w:rsidP="00C716E5">
    <w:pPr>
      <w:pStyle w:val="Header"/>
      <w:spacing w:line="140" w:lineRule="exact"/>
    </w:pPr>
  </w:p>
  <w:p w14:paraId="23AD3C67" w14:textId="77777777" w:rsidR="002D5A0F" w:rsidRDefault="002D5A0F">
    <w:pPr>
      <w:pStyle w:val="Header"/>
    </w:pPr>
    <w:r>
      <w:rPr>
        <w:noProof/>
        <w:lang w:eastAsia="en-GB"/>
      </w:rPr>
      <w:drawing>
        <wp:anchor distT="0" distB="0" distL="114300" distR="114300" simplePos="0" relativeHeight="251695104" behindDoc="1" locked="0" layoutInCell="1" allowOverlap="1" wp14:anchorId="75E67577" wp14:editId="2535431A">
          <wp:simplePos x="0" y="0"/>
          <wp:positionH relativeFrom="page">
            <wp:posOffset>6827653</wp:posOffset>
          </wp:positionH>
          <wp:positionV relativeFrom="page">
            <wp:posOffset>0</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95649C9C"/>
    <w:lvl w:ilvl="0">
      <w:start w:val="1"/>
      <w:numFmt w:val="upperLetter"/>
      <w:pStyle w:val="Annex"/>
      <w:lvlText w:val="APPENDI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7AB4D84"/>
    <w:multiLevelType w:val="multilevel"/>
    <w:tmpl w:val="BB4E4038"/>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nsid w:val="77B65365"/>
    <w:multiLevelType w:val="multilevel"/>
    <w:tmpl w:val="43D6DCA4"/>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30"/>
  </w:num>
  <w:num w:numId="3">
    <w:abstractNumId w:val="6"/>
  </w:num>
  <w:num w:numId="4">
    <w:abstractNumId w:val="18"/>
  </w:num>
  <w:num w:numId="5">
    <w:abstractNumId w:val="15"/>
  </w:num>
  <w:num w:numId="6">
    <w:abstractNumId w:val="7"/>
  </w:num>
  <w:num w:numId="7">
    <w:abstractNumId w:val="13"/>
  </w:num>
  <w:num w:numId="8">
    <w:abstractNumId w:val="20"/>
  </w:num>
  <w:num w:numId="9">
    <w:abstractNumId w:val="5"/>
  </w:num>
  <w:num w:numId="10">
    <w:abstractNumId w:val="12"/>
  </w:num>
  <w:num w:numId="11">
    <w:abstractNumId w:val="16"/>
  </w:num>
  <w:num w:numId="12">
    <w:abstractNumId w:val="3"/>
  </w:num>
  <w:num w:numId="13">
    <w:abstractNumId w:val="21"/>
  </w:num>
  <w:num w:numId="14">
    <w:abstractNumId w:val="0"/>
  </w:num>
  <w:num w:numId="15">
    <w:abstractNumId w:val="26"/>
  </w:num>
  <w:num w:numId="16">
    <w:abstractNumId w:val="27"/>
  </w:num>
  <w:num w:numId="17">
    <w:abstractNumId w:val="11"/>
  </w:num>
  <w:num w:numId="18">
    <w:abstractNumId w:val="10"/>
  </w:num>
  <w:num w:numId="19">
    <w:abstractNumId w:val="28"/>
  </w:num>
  <w:num w:numId="20">
    <w:abstractNumId w:val="19"/>
  </w:num>
  <w:num w:numId="21">
    <w:abstractNumId w:val="2"/>
  </w:num>
  <w:num w:numId="22">
    <w:abstractNumId w:val="9"/>
  </w:num>
  <w:num w:numId="23">
    <w:abstractNumId w:val="24"/>
  </w:num>
  <w:num w:numId="24">
    <w:abstractNumId w:val="8"/>
  </w:num>
  <w:num w:numId="25">
    <w:abstractNumId w:val="29"/>
  </w:num>
  <w:num w:numId="26">
    <w:abstractNumId w:val="1"/>
  </w:num>
  <w:num w:numId="27">
    <w:abstractNumId w:val="17"/>
  </w:num>
  <w:num w:numId="28">
    <w:abstractNumId w:val="14"/>
  </w:num>
  <w:num w:numId="29">
    <w:abstractNumId w:val="23"/>
  </w:num>
  <w:num w:numId="30">
    <w:abstractNumId w:val="25"/>
  </w:num>
  <w:num w:numId="31">
    <w:abstractNumId w:val="4"/>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pt-PT"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47B"/>
    <w:rsid w:val="00010920"/>
    <w:rsid w:val="0001616D"/>
    <w:rsid w:val="00016839"/>
    <w:rsid w:val="000174F9"/>
    <w:rsid w:val="000249C2"/>
    <w:rsid w:val="000258F6"/>
    <w:rsid w:val="000379A7"/>
    <w:rsid w:val="00040EB8"/>
    <w:rsid w:val="00041BA6"/>
    <w:rsid w:val="0005449E"/>
    <w:rsid w:val="00057B6D"/>
    <w:rsid w:val="00061A7B"/>
    <w:rsid w:val="0006783B"/>
    <w:rsid w:val="0008654C"/>
    <w:rsid w:val="000904ED"/>
    <w:rsid w:val="00091545"/>
    <w:rsid w:val="000968A6"/>
    <w:rsid w:val="000A27A8"/>
    <w:rsid w:val="000B2356"/>
    <w:rsid w:val="000C711B"/>
    <w:rsid w:val="000D2431"/>
    <w:rsid w:val="000D7518"/>
    <w:rsid w:val="000E04F2"/>
    <w:rsid w:val="000E3954"/>
    <w:rsid w:val="000E3E52"/>
    <w:rsid w:val="000F0F9F"/>
    <w:rsid w:val="000F3F43"/>
    <w:rsid w:val="000F58ED"/>
    <w:rsid w:val="00112685"/>
    <w:rsid w:val="00113D5B"/>
    <w:rsid w:val="00113F8F"/>
    <w:rsid w:val="001349DB"/>
    <w:rsid w:val="00135AEB"/>
    <w:rsid w:val="00136E58"/>
    <w:rsid w:val="0014297B"/>
    <w:rsid w:val="0015175D"/>
    <w:rsid w:val="001547F9"/>
    <w:rsid w:val="001607D8"/>
    <w:rsid w:val="00161325"/>
    <w:rsid w:val="00180492"/>
    <w:rsid w:val="00184427"/>
    <w:rsid w:val="001875B1"/>
    <w:rsid w:val="001B2A35"/>
    <w:rsid w:val="001B339A"/>
    <w:rsid w:val="001B7EC2"/>
    <w:rsid w:val="001C31A3"/>
    <w:rsid w:val="001C650B"/>
    <w:rsid w:val="001C72B5"/>
    <w:rsid w:val="001D2E7A"/>
    <w:rsid w:val="001D3992"/>
    <w:rsid w:val="001D4A3E"/>
    <w:rsid w:val="001E416D"/>
    <w:rsid w:val="001F3C09"/>
    <w:rsid w:val="001F4EF8"/>
    <w:rsid w:val="001F5AB1"/>
    <w:rsid w:val="001F6479"/>
    <w:rsid w:val="00201337"/>
    <w:rsid w:val="002022EA"/>
    <w:rsid w:val="002044E9"/>
    <w:rsid w:val="00205B17"/>
    <w:rsid w:val="00205D9B"/>
    <w:rsid w:val="002204DA"/>
    <w:rsid w:val="00220BD4"/>
    <w:rsid w:val="00220D95"/>
    <w:rsid w:val="00222A9E"/>
    <w:rsid w:val="0022371A"/>
    <w:rsid w:val="00224F28"/>
    <w:rsid w:val="002252BF"/>
    <w:rsid w:val="00237785"/>
    <w:rsid w:val="00251FB9"/>
    <w:rsid w:val="002520AD"/>
    <w:rsid w:val="0025660A"/>
    <w:rsid w:val="00257DF8"/>
    <w:rsid w:val="00257E4A"/>
    <w:rsid w:val="0026038D"/>
    <w:rsid w:val="0027175D"/>
    <w:rsid w:val="00274AA7"/>
    <w:rsid w:val="00291656"/>
    <w:rsid w:val="00296B1E"/>
    <w:rsid w:val="0029793F"/>
    <w:rsid w:val="002A1C42"/>
    <w:rsid w:val="002A2A92"/>
    <w:rsid w:val="002A617C"/>
    <w:rsid w:val="002A71CF"/>
    <w:rsid w:val="002B3E9D"/>
    <w:rsid w:val="002C658C"/>
    <w:rsid w:val="002C77F4"/>
    <w:rsid w:val="002D0869"/>
    <w:rsid w:val="002D2376"/>
    <w:rsid w:val="002D5A0F"/>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7692B"/>
    <w:rsid w:val="00380350"/>
    <w:rsid w:val="00380B4E"/>
    <w:rsid w:val="003816E4"/>
    <w:rsid w:val="0039131E"/>
    <w:rsid w:val="003A04A6"/>
    <w:rsid w:val="003A1746"/>
    <w:rsid w:val="003A7759"/>
    <w:rsid w:val="003A7F6E"/>
    <w:rsid w:val="003B03EA"/>
    <w:rsid w:val="003C7C34"/>
    <w:rsid w:val="003D0F37"/>
    <w:rsid w:val="003D5150"/>
    <w:rsid w:val="003F1C3A"/>
    <w:rsid w:val="00414698"/>
    <w:rsid w:val="0042565E"/>
    <w:rsid w:val="00432C05"/>
    <w:rsid w:val="00435222"/>
    <w:rsid w:val="004374AA"/>
    <w:rsid w:val="00440379"/>
    <w:rsid w:val="00441393"/>
    <w:rsid w:val="004430EE"/>
    <w:rsid w:val="00447CF0"/>
    <w:rsid w:val="00456F10"/>
    <w:rsid w:val="00472271"/>
    <w:rsid w:val="00474746"/>
    <w:rsid w:val="00476942"/>
    <w:rsid w:val="00477D62"/>
    <w:rsid w:val="00481BA1"/>
    <w:rsid w:val="004871A2"/>
    <w:rsid w:val="00492A8D"/>
    <w:rsid w:val="004944C8"/>
    <w:rsid w:val="004A0EBF"/>
    <w:rsid w:val="004A4EC4"/>
    <w:rsid w:val="004C0E4B"/>
    <w:rsid w:val="004D7580"/>
    <w:rsid w:val="004E0BBB"/>
    <w:rsid w:val="004E1D57"/>
    <w:rsid w:val="004E22A8"/>
    <w:rsid w:val="004E2F16"/>
    <w:rsid w:val="004F46AC"/>
    <w:rsid w:val="004F5930"/>
    <w:rsid w:val="004F6196"/>
    <w:rsid w:val="00503044"/>
    <w:rsid w:val="00523666"/>
    <w:rsid w:val="00525922"/>
    <w:rsid w:val="00526234"/>
    <w:rsid w:val="00534F34"/>
    <w:rsid w:val="0053692E"/>
    <w:rsid w:val="005378A6"/>
    <w:rsid w:val="00547837"/>
    <w:rsid w:val="00557434"/>
    <w:rsid w:val="00565D6B"/>
    <w:rsid w:val="005719C0"/>
    <w:rsid w:val="005805D2"/>
    <w:rsid w:val="00590E04"/>
    <w:rsid w:val="00595415"/>
    <w:rsid w:val="00597652"/>
    <w:rsid w:val="005A0703"/>
    <w:rsid w:val="005A080B"/>
    <w:rsid w:val="005B12A5"/>
    <w:rsid w:val="005C161A"/>
    <w:rsid w:val="005C1BCB"/>
    <w:rsid w:val="005C2312"/>
    <w:rsid w:val="005C4735"/>
    <w:rsid w:val="005C5C63"/>
    <w:rsid w:val="005D03E9"/>
    <w:rsid w:val="005D304B"/>
    <w:rsid w:val="005D6E5D"/>
    <w:rsid w:val="005E394E"/>
    <w:rsid w:val="005E3989"/>
    <w:rsid w:val="005E4659"/>
    <w:rsid w:val="005E657A"/>
    <w:rsid w:val="005E6BCE"/>
    <w:rsid w:val="005F1386"/>
    <w:rsid w:val="005F17C2"/>
    <w:rsid w:val="00600C2B"/>
    <w:rsid w:val="006127AC"/>
    <w:rsid w:val="00634862"/>
    <w:rsid w:val="00634A78"/>
    <w:rsid w:val="00642025"/>
    <w:rsid w:val="0064356E"/>
    <w:rsid w:val="006441F3"/>
    <w:rsid w:val="00646E87"/>
    <w:rsid w:val="0065107F"/>
    <w:rsid w:val="00651B86"/>
    <w:rsid w:val="00661946"/>
    <w:rsid w:val="00666061"/>
    <w:rsid w:val="00667424"/>
    <w:rsid w:val="00667792"/>
    <w:rsid w:val="00671677"/>
    <w:rsid w:val="006744D8"/>
    <w:rsid w:val="006750F2"/>
    <w:rsid w:val="006752D6"/>
    <w:rsid w:val="00675E02"/>
    <w:rsid w:val="00681D25"/>
    <w:rsid w:val="0068553C"/>
    <w:rsid w:val="00685F34"/>
    <w:rsid w:val="00695656"/>
    <w:rsid w:val="006975A8"/>
    <w:rsid w:val="0069791D"/>
    <w:rsid w:val="006A1012"/>
    <w:rsid w:val="006B0D1B"/>
    <w:rsid w:val="006B3DDF"/>
    <w:rsid w:val="006C1376"/>
    <w:rsid w:val="006C48F9"/>
    <w:rsid w:val="006E0E7D"/>
    <w:rsid w:val="006E10BF"/>
    <w:rsid w:val="006F1C14"/>
    <w:rsid w:val="006F4AE1"/>
    <w:rsid w:val="00703790"/>
    <w:rsid w:val="00703A6A"/>
    <w:rsid w:val="007163E9"/>
    <w:rsid w:val="00721272"/>
    <w:rsid w:val="00722236"/>
    <w:rsid w:val="00725CCA"/>
    <w:rsid w:val="0072737A"/>
    <w:rsid w:val="007311E7"/>
    <w:rsid w:val="00731DEE"/>
    <w:rsid w:val="00734BC6"/>
    <w:rsid w:val="007400B8"/>
    <w:rsid w:val="007541D3"/>
    <w:rsid w:val="007577D7"/>
    <w:rsid w:val="00761F83"/>
    <w:rsid w:val="007715E8"/>
    <w:rsid w:val="00776004"/>
    <w:rsid w:val="0078486B"/>
    <w:rsid w:val="00785A39"/>
    <w:rsid w:val="00787D8A"/>
    <w:rsid w:val="00790277"/>
    <w:rsid w:val="00791EBC"/>
    <w:rsid w:val="00793577"/>
    <w:rsid w:val="00794145"/>
    <w:rsid w:val="00795637"/>
    <w:rsid w:val="007A446A"/>
    <w:rsid w:val="007A53A6"/>
    <w:rsid w:val="007A6159"/>
    <w:rsid w:val="007B27E9"/>
    <w:rsid w:val="007B2C5B"/>
    <w:rsid w:val="007B2D11"/>
    <w:rsid w:val="007B6700"/>
    <w:rsid w:val="007B6A93"/>
    <w:rsid w:val="007B7BEC"/>
    <w:rsid w:val="007C3A25"/>
    <w:rsid w:val="007D1805"/>
    <w:rsid w:val="007D2107"/>
    <w:rsid w:val="007D36A3"/>
    <w:rsid w:val="007D3A42"/>
    <w:rsid w:val="007D4931"/>
    <w:rsid w:val="007D5895"/>
    <w:rsid w:val="007D77AB"/>
    <w:rsid w:val="007E28D0"/>
    <w:rsid w:val="007E30DF"/>
    <w:rsid w:val="007F7544"/>
    <w:rsid w:val="00800995"/>
    <w:rsid w:val="00816F79"/>
    <w:rsid w:val="008172F8"/>
    <w:rsid w:val="008326B2"/>
    <w:rsid w:val="00834189"/>
    <w:rsid w:val="008432DD"/>
    <w:rsid w:val="00846831"/>
    <w:rsid w:val="00864DB6"/>
    <w:rsid w:val="00865532"/>
    <w:rsid w:val="00867686"/>
    <w:rsid w:val="008737D3"/>
    <w:rsid w:val="008747E0"/>
    <w:rsid w:val="00876841"/>
    <w:rsid w:val="00882B3C"/>
    <w:rsid w:val="0088783D"/>
    <w:rsid w:val="008972C3"/>
    <w:rsid w:val="008A28D9"/>
    <w:rsid w:val="008A30BA"/>
    <w:rsid w:val="008C33B5"/>
    <w:rsid w:val="008C3A72"/>
    <w:rsid w:val="008C6969"/>
    <w:rsid w:val="008D2ED0"/>
    <w:rsid w:val="008D4ED6"/>
    <w:rsid w:val="008E1F69"/>
    <w:rsid w:val="008E76B1"/>
    <w:rsid w:val="008E7A4F"/>
    <w:rsid w:val="008F38BB"/>
    <w:rsid w:val="008F57D8"/>
    <w:rsid w:val="00902834"/>
    <w:rsid w:val="00914E26"/>
    <w:rsid w:val="0091590F"/>
    <w:rsid w:val="00923B4D"/>
    <w:rsid w:val="0092540C"/>
    <w:rsid w:val="00925E0F"/>
    <w:rsid w:val="00931A57"/>
    <w:rsid w:val="00931EB4"/>
    <w:rsid w:val="0093492E"/>
    <w:rsid w:val="0093752C"/>
    <w:rsid w:val="009414E6"/>
    <w:rsid w:val="0095450F"/>
    <w:rsid w:val="00956901"/>
    <w:rsid w:val="009607D7"/>
    <w:rsid w:val="00962EC1"/>
    <w:rsid w:val="0096308C"/>
    <w:rsid w:val="00971591"/>
    <w:rsid w:val="00974564"/>
    <w:rsid w:val="00974E99"/>
    <w:rsid w:val="009764FA"/>
    <w:rsid w:val="00976B66"/>
    <w:rsid w:val="00980192"/>
    <w:rsid w:val="00982A22"/>
    <w:rsid w:val="00994D97"/>
    <w:rsid w:val="009A07B7"/>
    <w:rsid w:val="009B1375"/>
    <w:rsid w:val="009B1545"/>
    <w:rsid w:val="009B5023"/>
    <w:rsid w:val="009B785E"/>
    <w:rsid w:val="009C26F8"/>
    <w:rsid w:val="009C609E"/>
    <w:rsid w:val="009C7943"/>
    <w:rsid w:val="009D25B8"/>
    <w:rsid w:val="009D26AB"/>
    <w:rsid w:val="009E16EC"/>
    <w:rsid w:val="009E433C"/>
    <w:rsid w:val="009E4A4D"/>
    <w:rsid w:val="009E6578"/>
    <w:rsid w:val="009F081F"/>
    <w:rsid w:val="009F3C96"/>
    <w:rsid w:val="009F5501"/>
    <w:rsid w:val="00A05D68"/>
    <w:rsid w:val="00A06A3D"/>
    <w:rsid w:val="00A10EBA"/>
    <w:rsid w:val="00A11C08"/>
    <w:rsid w:val="00A13E56"/>
    <w:rsid w:val="00A227BF"/>
    <w:rsid w:val="00A24838"/>
    <w:rsid w:val="00A2743E"/>
    <w:rsid w:val="00A30C33"/>
    <w:rsid w:val="00A329A4"/>
    <w:rsid w:val="00A4308C"/>
    <w:rsid w:val="00A44836"/>
    <w:rsid w:val="00A46CD4"/>
    <w:rsid w:val="00A524B5"/>
    <w:rsid w:val="00A53238"/>
    <w:rsid w:val="00A549B3"/>
    <w:rsid w:val="00A56184"/>
    <w:rsid w:val="00A64CB9"/>
    <w:rsid w:val="00A66C61"/>
    <w:rsid w:val="00A67954"/>
    <w:rsid w:val="00A72ED7"/>
    <w:rsid w:val="00A77E41"/>
    <w:rsid w:val="00A8083F"/>
    <w:rsid w:val="00A90D86"/>
    <w:rsid w:val="00A91DBA"/>
    <w:rsid w:val="00A97900"/>
    <w:rsid w:val="00AA1D7A"/>
    <w:rsid w:val="00AA3E01"/>
    <w:rsid w:val="00AB0BFA"/>
    <w:rsid w:val="00AB2A3D"/>
    <w:rsid w:val="00AB76B7"/>
    <w:rsid w:val="00AC33A2"/>
    <w:rsid w:val="00AD0320"/>
    <w:rsid w:val="00AD067C"/>
    <w:rsid w:val="00AD38F7"/>
    <w:rsid w:val="00AD6E1D"/>
    <w:rsid w:val="00AE65F1"/>
    <w:rsid w:val="00AE6BB4"/>
    <w:rsid w:val="00AE74AD"/>
    <w:rsid w:val="00AF159C"/>
    <w:rsid w:val="00B01873"/>
    <w:rsid w:val="00B074AB"/>
    <w:rsid w:val="00B07717"/>
    <w:rsid w:val="00B17253"/>
    <w:rsid w:val="00B2583D"/>
    <w:rsid w:val="00B25EFE"/>
    <w:rsid w:val="00B27C78"/>
    <w:rsid w:val="00B30098"/>
    <w:rsid w:val="00B30E51"/>
    <w:rsid w:val="00B31A41"/>
    <w:rsid w:val="00B40199"/>
    <w:rsid w:val="00B502FF"/>
    <w:rsid w:val="00B643DF"/>
    <w:rsid w:val="00B65300"/>
    <w:rsid w:val="00B67422"/>
    <w:rsid w:val="00B70BD4"/>
    <w:rsid w:val="00B712CA"/>
    <w:rsid w:val="00B73463"/>
    <w:rsid w:val="00B90123"/>
    <w:rsid w:val="00B9016D"/>
    <w:rsid w:val="00BA0F98"/>
    <w:rsid w:val="00BA1517"/>
    <w:rsid w:val="00BA4E39"/>
    <w:rsid w:val="00BA4E4D"/>
    <w:rsid w:val="00BA67FD"/>
    <w:rsid w:val="00BA7C48"/>
    <w:rsid w:val="00BC251F"/>
    <w:rsid w:val="00BC27F6"/>
    <w:rsid w:val="00BC39F4"/>
    <w:rsid w:val="00BD1587"/>
    <w:rsid w:val="00BD6A20"/>
    <w:rsid w:val="00BD7EE1"/>
    <w:rsid w:val="00BE34AF"/>
    <w:rsid w:val="00BE5568"/>
    <w:rsid w:val="00BE5764"/>
    <w:rsid w:val="00BE7C28"/>
    <w:rsid w:val="00BF03F0"/>
    <w:rsid w:val="00BF1358"/>
    <w:rsid w:val="00BF2619"/>
    <w:rsid w:val="00BF67C2"/>
    <w:rsid w:val="00C0106D"/>
    <w:rsid w:val="00C04AE3"/>
    <w:rsid w:val="00C133BE"/>
    <w:rsid w:val="00C20959"/>
    <w:rsid w:val="00C222B4"/>
    <w:rsid w:val="00C262E4"/>
    <w:rsid w:val="00C27163"/>
    <w:rsid w:val="00C33E20"/>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3258"/>
    <w:rsid w:val="00C83666"/>
    <w:rsid w:val="00C86C70"/>
    <w:rsid w:val="00C870B5"/>
    <w:rsid w:val="00C907DF"/>
    <w:rsid w:val="00C91630"/>
    <w:rsid w:val="00C9558A"/>
    <w:rsid w:val="00C966EB"/>
    <w:rsid w:val="00CA04B1"/>
    <w:rsid w:val="00CA2DFC"/>
    <w:rsid w:val="00CA4EC9"/>
    <w:rsid w:val="00CB03D4"/>
    <w:rsid w:val="00CB0617"/>
    <w:rsid w:val="00CB137B"/>
    <w:rsid w:val="00CB380B"/>
    <w:rsid w:val="00CB5BA1"/>
    <w:rsid w:val="00CC35EF"/>
    <w:rsid w:val="00CC5048"/>
    <w:rsid w:val="00CC6246"/>
    <w:rsid w:val="00CC799D"/>
    <w:rsid w:val="00CD404B"/>
    <w:rsid w:val="00CE1A21"/>
    <w:rsid w:val="00CE42B8"/>
    <w:rsid w:val="00CE5E46"/>
    <w:rsid w:val="00CF49CC"/>
    <w:rsid w:val="00D04F0B"/>
    <w:rsid w:val="00D1463A"/>
    <w:rsid w:val="00D252C9"/>
    <w:rsid w:val="00D32DDF"/>
    <w:rsid w:val="00D34CF8"/>
    <w:rsid w:val="00D3700C"/>
    <w:rsid w:val="00D55482"/>
    <w:rsid w:val="00D605CA"/>
    <w:rsid w:val="00D638E0"/>
    <w:rsid w:val="00D653B1"/>
    <w:rsid w:val="00D71499"/>
    <w:rsid w:val="00D74AE1"/>
    <w:rsid w:val="00D75D42"/>
    <w:rsid w:val="00D80B20"/>
    <w:rsid w:val="00D865A8"/>
    <w:rsid w:val="00D9012A"/>
    <w:rsid w:val="00D92C2D"/>
    <w:rsid w:val="00D9361E"/>
    <w:rsid w:val="00D93B8E"/>
    <w:rsid w:val="00D94F38"/>
    <w:rsid w:val="00DA13B1"/>
    <w:rsid w:val="00DA17CD"/>
    <w:rsid w:val="00DA17FE"/>
    <w:rsid w:val="00DA6173"/>
    <w:rsid w:val="00DB25B3"/>
    <w:rsid w:val="00DC5DEB"/>
    <w:rsid w:val="00DD60F2"/>
    <w:rsid w:val="00DE0893"/>
    <w:rsid w:val="00DE196C"/>
    <w:rsid w:val="00DE2814"/>
    <w:rsid w:val="00DE6796"/>
    <w:rsid w:val="00DF41B2"/>
    <w:rsid w:val="00E01272"/>
    <w:rsid w:val="00E03067"/>
    <w:rsid w:val="00E03846"/>
    <w:rsid w:val="00E16EB4"/>
    <w:rsid w:val="00E20A7D"/>
    <w:rsid w:val="00E21A27"/>
    <w:rsid w:val="00E27A2F"/>
    <w:rsid w:val="00E37EA2"/>
    <w:rsid w:val="00E42A94"/>
    <w:rsid w:val="00E43E26"/>
    <w:rsid w:val="00E450EE"/>
    <w:rsid w:val="00E458BF"/>
    <w:rsid w:val="00E54BFB"/>
    <w:rsid w:val="00E54CD7"/>
    <w:rsid w:val="00E62EAF"/>
    <w:rsid w:val="00E706E7"/>
    <w:rsid w:val="00E818AD"/>
    <w:rsid w:val="00E84229"/>
    <w:rsid w:val="00E84965"/>
    <w:rsid w:val="00E90E4E"/>
    <w:rsid w:val="00E91836"/>
    <w:rsid w:val="00E9391E"/>
    <w:rsid w:val="00E9408B"/>
    <w:rsid w:val="00EA1052"/>
    <w:rsid w:val="00EA218F"/>
    <w:rsid w:val="00EA347B"/>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071A"/>
    <w:rsid w:val="00EF1C54"/>
    <w:rsid w:val="00EF404B"/>
    <w:rsid w:val="00F00376"/>
    <w:rsid w:val="00F01F0C"/>
    <w:rsid w:val="00F02A5A"/>
    <w:rsid w:val="00F10C9D"/>
    <w:rsid w:val="00F11368"/>
    <w:rsid w:val="00F11764"/>
    <w:rsid w:val="00F15266"/>
    <w:rsid w:val="00F157E2"/>
    <w:rsid w:val="00F16548"/>
    <w:rsid w:val="00F22169"/>
    <w:rsid w:val="00F259E2"/>
    <w:rsid w:val="00F41F0B"/>
    <w:rsid w:val="00F524F9"/>
    <w:rsid w:val="00F527AC"/>
    <w:rsid w:val="00F5503F"/>
    <w:rsid w:val="00F61D83"/>
    <w:rsid w:val="00F65DD1"/>
    <w:rsid w:val="00F707B3"/>
    <w:rsid w:val="00F71135"/>
    <w:rsid w:val="00F74309"/>
    <w:rsid w:val="00F82C35"/>
    <w:rsid w:val="00F85E2B"/>
    <w:rsid w:val="00F862D9"/>
    <w:rsid w:val="00F90461"/>
    <w:rsid w:val="00F92851"/>
    <w:rsid w:val="00F97B7F"/>
    <w:rsid w:val="00FA370D"/>
    <w:rsid w:val="00FA478A"/>
    <w:rsid w:val="00FA66F1"/>
    <w:rsid w:val="00FC378B"/>
    <w:rsid w:val="00FC3977"/>
    <w:rsid w:val="00FD1EC9"/>
    <w:rsid w:val="00FD2566"/>
    <w:rsid w:val="00FD2F16"/>
    <w:rsid w:val="00FD6065"/>
    <w:rsid w:val="00FE1D34"/>
    <w:rsid w:val="00FE244F"/>
    <w:rsid w:val="00FE2A6F"/>
    <w:rsid w:val="00FE47C9"/>
    <w:rsid w:val="00FF4C48"/>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4:docId w14:val="69720D1A"/>
  <w15:docId w15:val="{6778729B-3FB7-4E9F-8FA6-7A6157159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565D6B"/>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9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565D6B"/>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99"/>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AD067C"/>
    <w:pPr>
      <w:numPr>
        <w:ilvl w:val="2"/>
        <w:numId w:val="19"/>
      </w:numPr>
      <w:spacing w:after="120"/>
      <w:ind w:left="1560" w:hanging="426"/>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qFormat/>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rsid w:val="00FF4C48"/>
    <w:pPr>
      <w:spacing w:before="60" w:after="60" w:line="240" w:lineRule="auto"/>
      <w:ind w:left="708"/>
    </w:pPr>
    <w:rPr>
      <w:rFonts w:ascii="Arial" w:eastAsia="Batang" w:hAnsi="Arial" w:cs="Calibri"/>
      <w:sz w:val="22"/>
      <w:lang w:eastAsia="en-GB"/>
    </w:rPr>
  </w:style>
  <w:style w:type="paragraph" w:customStyle="1" w:styleId="BulletLast">
    <w:name w:val="Bullet Last"/>
    <w:basedOn w:val="Normal"/>
    <w:rsid w:val="005719C0"/>
    <w:pPr>
      <w:widowControl w:val="0"/>
      <w:spacing w:after="240" w:line="240" w:lineRule="auto"/>
      <w:ind w:left="720" w:hanging="360"/>
    </w:pPr>
    <w:rPr>
      <w:rFonts w:ascii="Times New Roman" w:eastAsia="Batang" w:hAnsi="Times New Roman" w:cs="Times New Roman"/>
      <w:sz w:val="24"/>
      <w:szCs w:val="20"/>
      <w:lang w:val="en-US"/>
    </w:rPr>
  </w:style>
  <w:style w:type="table" w:customStyle="1" w:styleId="TableGrid2">
    <w:name w:val="Table Grid2"/>
    <w:basedOn w:val="TableNormal"/>
    <w:next w:val="TableGrid"/>
    <w:uiPriority w:val="99"/>
    <w:locked/>
    <w:rsid w:val="008E7A4F"/>
    <w:pPr>
      <w:spacing w:after="0" w:line="240" w:lineRule="auto"/>
    </w:pPr>
    <w:rPr>
      <w:rFonts w:ascii="Times New Roman" w:eastAsia="Batang"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7.jpe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6.jpeg"/><Relationship Id="rId33" Type="http://schemas.openxmlformats.org/officeDocument/2006/relationships/header" Target="header10.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5.png"/><Relationship Id="rId32" Type="http://schemas.openxmlformats.org/officeDocument/2006/relationships/image" Target="media/image13.jpe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image" Target="media/image9.emf"/><Relationship Id="rId36" Type="http://schemas.openxmlformats.org/officeDocument/2006/relationships/header" Target="header12.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image" Target="media/image12.pn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image" Target="media/image8.emf"/><Relationship Id="rId30" Type="http://schemas.openxmlformats.org/officeDocument/2006/relationships/image" Target="media/image11.png"/><Relationship Id="rId35"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40848-CA5F-4FA8-A868-FAC1B246A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19110</Words>
  <Characters>108927</Characters>
  <Application>Microsoft Office Word</Application>
  <DocSecurity>0</DocSecurity>
  <Lines>907</Lines>
  <Paragraphs>255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127782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Alan Grant</cp:lastModifiedBy>
  <cp:revision>2</cp:revision>
  <dcterms:created xsi:type="dcterms:W3CDTF">2017-03-15T12:23:00Z</dcterms:created>
  <dcterms:modified xsi:type="dcterms:W3CDTF">2017-03-15T12:23:00Z</dcterms:modified>
  <cp:category/>
</cp:coreProperties>
</file>